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9009CB">
      <w:pPr>
        <w:spacing w:line="360" w:lineRule="auto"/>
        <w:ind w:firstLine="160"/>
        <w:rPr>
          <w:rFonts w:hint="eastAsia" w:ascii="CESI黑体-GB2312" w:hAnsi="CESI黑体-GB2312" w:eastAsia="CESI黑体-GB2312" w:cs="CESI黑体-GB2312"/>
          <w:color w:val="000000" w:themeColor="text1"/>
          <w:sz w:val="32"/>
          <w:szCs w:val="32"/>
          <w:highlight w:val="none"/>
          <w14:textFill>
            <w14:solidFill>
              <w14:schemeClr w14:val="tx1"/>
            </w14:solidFill>
          </w14:textFill>
        </w:rPr>
      </w:pPr>
      <w:bookmarkStart w:id="797" w:name="_GoBack"/>
      <w:r>
        <w:rPr>
          <w:rFonts w:hint="eastAsia" w:ascii="CESI黑体-GB2312" w:hAnsi="CESI黑体-GB2312" w:eastAsia="CESI黑体-GB2312" w:cs="CESI黑体-GB2312"/>
          <w:color w:val="000000" w:themeColor="text1"/>
          <w:sz w:val="32"/>
          <w:szCs w:val="32"/>
          <w:highlight w:val="none"/>
          <w14:textFill>
            <w14:solidFill>
              <w14:schemeClr w14:val="tx1"/>
            </w14:solidFill>
          </w14:textFill>
        </w:rPr>
        <w:t xml:space="preserve"> </w:t>
      </w:r>
    </w:p>
    <w:p w14:paraId="5BA6FF31">
      <w:pPr>
        <w:spacing w:line="360" w:lineRule="auto"/>
        <w:ind w:firstLine="300"/>
        <w:rPr>
          <w:color w:val="000000" w:themeColor="text1"/>
          <w:sz w:val="60"/>
          <w:szCs w:val="60"/>
          <w:highlight w:val="none"/>
          <w14:textFill>
            <w14:solidFill>
              <w14:schemeClr w14:val="tx1"/>
            </w14:solidFill>
          </w14:textFill>
        </w:rPr>
      </w:pPr>
    </w:p>
    <w:p w14:paraId="17DCFE36">
      <w:pPr>
        <w:keepNext w:val="0"/>
        <w:keepLines w:val="0"/>
        <w:pageBreakBefore w:val="0"/>
        <w:widowControl w:val="0"/>
        <w:spacing w:after="240" w:line="600" w:lineRule="auto"/>
        <w:jc w:val="center"/>
        <w:rPr>
          <w:rFonts w:hint="eastAsia" w:ascii="宋体" w:hAnsi="宋体"/>
          <w:b/>
          <w:color w:val="000000" w:themeColor="text1"/>
          <w:sz w:val="60"/>
          <w:szCs w:val="60"/>
          <w:highlight w:val="none"/>
          <w14:textFill>
            <w14:solidFill>
              <w14:schemeClr w14:val="tx1"/>
            </w14:solidFill>
          </w14:textFill>
        </w:rPr>
      </w:pPr>
      <w:r>
        <w:rPr>
          <w:rFonts w:ascii="宋体" w:hAnsi="宋体"/>
          <w:b/>
          <w:color w:val="000000" w:themeColor="text1"/>
          <w:spacing w:val="114"/>
          <w:sz w:val="60"/>
          <w:szCs w:val="60"/>
          <w:highlight w:val="none"/>
          <w14:textFill>
            <w14:solidFill>
              <w14:schemeClr w14:val="tx1"/>
            </w14:solidFill>
          </w14:textFill>
        </w:rPr>
        <w:t>常州市政府采购项</w:t>
      </w:r>
      <w:r>
        <w:rPr>
          <w:rFonts w:ascii="宋体" w:hAnsi="宋体"/>
          <w:b/>
          <w:color w:val="000000" w:themeColor="text1"/>
          <w:sz w:val="60"/>
          <w:szCs w:val="60"/>
          <w:highlight w:val="none"/>
          <w14:textFill>
            <w14:solidFill>
              <w14:schemeClr w14:val="tx1"/>
            </w14:solidFill>
          </w14:textFill>
        </w:rPr>
        <w:t>目</w:t>
      </w:r>
    </w:p>
    <w:p w14:paraId="3D45A6EB">
      <w:pPr>
        <w:keepNext w:val="0"/>
        <w:keepLines w:val="0"/>
        <w:pageBreakBefore w:val="0"/>
        <w:widowControl w:val="0"/>
        <w:spacing w:after="240" w:line="600" w:lineRule="auto"/>
        <w:jc w:val="center"/>
        <w:rPr>
          <w:rFonts w:hint="eastAsia" w:ascii="宋体" w:hAnsi="宋体"/>
          <w:b/>
          <w:color w:val="000000" w:themeColor="text1"/>
          <w:sz w:val="60"/>
          <w:szCs w:val="60"/>
          <w:highlight w:val="none"/>
          <w14:textFill>
            <w14:solidFill>
              <w14:schemeClr w14:val="tx1"/>
            </w14:solidFill>
          </w14:textFill>
        </w:rPr>
      </w:pPr>
      <w:r>
        <w:rPr>
          <w:rFonts w:hint="eastAsia" w:ascii="宋体" w:hAnsi="宋体"/>
          <w:b/>
          <w:color w:val="000000" w:themeColor="text1"/>
          <w:spacing w:val="151"/>
          <w:sz w:val="60"/>
          <w:szCs w:val="60"/>
          <w:highlight w:val="none"/>
          <w14:textFill>
            <w14:solidFill>
              <w14:schemeClr w14:val="tx1"/>
            </w14:solidFill>
          </w14:textFill>
        </w:rPr>
        <w:t>竞争性磋商文</w:t>
      </w:r>
      <w:r>
        <w:rPr>
          <w:rFonts w:hint="eastAsia" w:ascii="宋体" w:hAnsi="宋体"/>
          <w:b/>
          <w:color w:val="000000" w:themeColor="text1"/>
          <w:spacing w:val="4"/>
          <w:sz w:val="60"/>
          <w:szCs w:val="60"/>
          <w:highlight w:val="none"/>
          <w14:textFill>
            <w14:solidFill>
              <w14:schemeClr w14:val="tx1"/>
            </w14:solidFill>
          </w14:textFill>
        </w:rPr>
        <w:t>件</w:t>
      </w:r>
    </w:p>
    <w:p w14:paraId="69E1A460">
      <w:pPr>
        <w:keepNext w:val="0"/>
        <w:keepLines w:val="0"/>
        <w:pageBreakBefore w:val="0"/>
        <w:widowControl w:val="0"/>
        <w:tabs>
          <w:tab w:val="left" w:pos="5609"/>
        </w:tabs>
        <w:spacing w:line="600" w:lineRule="auto"/>
        <w:jc w:val="left"/>
        <w:rPr>
          <w:rFonts w:ascii="宋体" w:hAnsi="宋体"/>
          <w:bCs/>
          <w:color w:val="000000" w:themeColor="text1"/>
          <w:sz w:val="36"/>
          <w:szCs w:val="36"/>
          <w:highlight w:val="none"/>
          <w14:textFill>
            <w14:solidFill>
              <w14:schemeClr w14:val="tx1"/>
            </w14:solidFill>
          </w14:textFill>
        </w:rPr>
      </w:pPr>
    </w:p>
    <w:p w14:paraId="4A4D1291">
      <w:pPr>
        <w:keepNext w:val="0"/>
        <w:keepLines w:val="0"/>
        <w:pageBreakBefore w:val="0"/>
        <w:widowControl w:val="0"/>
        <w:tabs>
          <w:tab w:val="left" w:pos="3240"/>
          <w:tab w:val="left" w:pos="3420"/>
        </w:tabs>
        <w:spacing w:line="600" w:lineRule="auto"/>
        <w:jc w:val="left"/>
        <w:rPr>
          <w:rFonts w:hint="eastAsia" w:ascii="宋体" w:hAnsi="宋体"/>
          <w:bCs/>
          <w:color w:val="000000" w:themeColor="text1"/>
          <w:sz w:val="36"/>
          <w:szCs w:val="36"/>
          <w:highlight w:val="none"/>
          <w:lang w:eastAsia="zh-CN"/>
          <w14:textFill>
            <w14:solidFill>
              <w14:schemeClr w14:val="tx1"/>
            </w14:solidFill>
          </w14:textFill>
        </w:rPr>
      </w:pPr>
      <w:r>
        <w:rPr>
          <w:rFonts w:ascii="宋体" w:hAnsi="宋体"/>
          <w:bCs/>
          <w:color w:val="000000" w:themeColor="text1"/>
          <w:sz w:val="36"/>
          <w:szCs w:val="36"/>
          <w:highlight w:val="none"/>
          <w14:textFill>
            <w14:solidFill>
              <w14:schemeClr w14:val="tx1"/>
            </w14:solidFill>
          </w14:textFill>
        </w:rPr>
        <w:t>项目名称：</w:t>
      </w:r>
      <w:r>
        <w:rPr>
          <w:rFonts w:hint="eastAsia" w:ascii="宋体" w:hAnsi="宋体"/>
          <w:bCs/>
          <w:color w:val="000000" w:themeColor="text1"/>
          <w:sz w:val="36"/>
          <w:szCs w:val="36"/>
          <w:highlight w:val="none"/>
          <w:lang w:eastAsia="zh-CN"/>
          <w14:textFill>
            <w14:solidFill>
              <w14:schemeClr w14:val="tx1"/>
            </w14:solidFill>
          </w14:textFill>
        </w:rPr>
        <w:t>朱林镇2026-2028年度集镇及园区绿化养护市场化运作项目</w:t>
      </w:r>
    </w:p>
    <w:p w14:paraId="1043F845">
      <w:pPr>
        <w:keepNext w:val="0"/>
        <w:keepLines w:val="0"/>
        <w:pageBreakBefore w:val="0"/>
        <w:widowControl w:val="0"/>
        <w:tabs>
          <w:tab w:val="left" w:pos="3240"/>
          <w:tab w:val="left" w:pos="3420"/>
        </w:tabs>
        <w:spacing w:line="600" w:lineRule="auto"/>
        <w:jc w:val="left"/>
        <w:rPr>
          <w:rFonts w:hint="eastAsia" w:eastAsia="宋体"/>
          <w:bCs/>
          <w:color w:val="auto"/>
          <w:sz w:val="36"/>
          <w:szCs w:val="36"/>
          <w:highlight w:val="none"/>
          <w:lang w:eastAsia="zh-CN"/>
        </w:rPr>
      </w:pPr>
      <w:r>
        <w:rPr>
          <w:rFonts w:hint="eastAsia"/>
          <w:bCs/>
          <w:color w:val="auto"/>
          <w:sz w:val="36"/>
          <w:szCs w:val="36"/>
          <w:highlight w:val="none"/>
          <w:lang w:val="en-US" w:eastAsia="zh-CN"/>
        </w:rPr>
        <w:t>项目</w:t>
      </w:r>
      <w:r>
        <w:rPr>
          <w:bCs/>
          <w:color w:val="auto"/>
          <w:sz w:val="36"/>
          <w:szCs w:val="36"/>
          <w:highlight w:val="none"/>
        </w:rPr>
        <w:t>编</w:t>
      </w:r>
      <w:r>
        <w:rPr>
          <w:rFonts w:ascii="Times New Roman" w:hAnsi="Times New Roman" w:eastAsia="宋体" w:cs="Times New Roman"/>
          <w:bCs/>
          <w:color w:val="auto"/>
          <w:sz w:val="36"/>
          <w:szCs w:val="36"/>
          <w:highlight w:val="none"/>
        </w:rPr>
        <w:t>号</w:t>
      </w:r>
      <w:r>
        <w:rPr>
          <w:rFonts w:hint="eastAsia" w:ascii="Times New Roman" w:hAnsi="Times New Roman" w:eastAsia="宋体" w:cs="Times New Roman"/>
          <w:bCs/>
          <w:color w:val="auto"/>
          <w:sz w:val="36"/>
          <w:szCs w:val="36"/>
          <w:highlight w:val="none"/>
        </w:rPr>
        <w:t>/包号</w:t>
      </w:r>
      <w:r>
        <w:rPr>
          <w:bCs/>
          <w:color w:val="auto"/>
          <w:sz w:val="36"/>
          <w:szCs w:val="36"/>
          <w:highlight w:val="none"/>
        </w:rPr>
        <w:t>：</w:t>
      </w:r>
      <w:r>
        <w:rPr>
          <w:rFonts w:hint="eastAsia"/>
          <w:bCs/>
          <w:color w:val="auto"/>
          <w:sz w:val="36"/>
          <w:szCs w:val="36"/>
          <w:highlight w:val="none"/>
          <w:lang w:eastAsia="zh-CN"/>
        </w:rPr>
        <w:t>JSZC-320413-HSGS-C2025-0056</w:t>
      </w:r>
    </w:p>
    <w:p w14:paraId="19D04B7D">
      <w:pPr>
        <w:keepNext w:val="0"/>
        <w:keepLines w:val="0"/>
        <w:pageBreakBefore w:val="0"/>
        <w:widowControl w:val="0"/>
        <w:tabs>
          <w:tab w:val="left" w:pos="3240"/>
          <w:tab w:val="left" w:pos="3420"/>
        </w:tabs>
        <w:spacing w:line="600" w:lineRule="auto"/>
        <w:jc w:val="left"/>
        <w:rPr>
          <w:rFonts w:hint="eastAsia" w:ascii="宋体" w:hAnsi="宋体"/>
          <w:bCs/>
          <w:color w:val="000000" w:themeColor="text1"/>
          <w:sz w:val="36"/>
          <w:szCs w:val="36"/>
          <w:highlight w:val="none"/>
          <w:lang w:eastAsia="zh-CN"/>
          <w14:textFill>
            <w14:solidFill>
              <w14:schemeClr w14:val="tx1"/>
            </w14:solidFill>
          </w14:textFill>
        </w:rPr>
      </w:pPr>
      <w:r>
        <w:rPr>
          <w:rFonts w:ascii="宋体" w:hAnsi="宋体"/>
          <w:bCs/>
          <w:color w:val="000000" w:themeColor="text1"/>
          <w:sz w:val="36"/>
          <w:szCs w:val="36"/>
          <w:highlight w:val="none"/>
          <w14:textFill>
            <w14:solidFill>
              <w14:schemeClr w14:val="tx1"/>
            </w14:solidFill>
          </w14:textFill>
        </w:rPr>
        <w:t>采 购 人：</w:t>
      </w:r>
      <w:r>
        <w:rPr>
          <w:rFonts w:hint="eastAsia" w:ascii="宋体" w:hAnsi="宋体"/>
          <w:bCs/>
          <w:color w:val="000000" w:themeColor="text1"/>
          <w:sz w:val="36"/>
          <w:szCs w:val="36"/>
          <w:highlight w:val="none"/>
          <w:lang w:eastAsia="zh-CN"/>
          <w14:textFill>
            <w14:solidFill>
              <w14:schemeClr w14:val="tx1"/>
            </w14:solidFill>
          </w14:textFill>
        </w:rPr>
        <w:t>常州市金坛区朱林镇人民政府</w:t>
      </w:r>
    </w:p>
    <w:p w14:paraId="264ACCD4">
      <w:pPr>
        <w:keepNext w:val="0"/>
        <w:keepLines w:val="0"/>
        <w:pageBreakBefore w:val="0"/>
        <w:widowControl w:val="0"/>
        <w:tabs>
          <w:tab w:val="left" w:pos="3240"/>
          <w:tab w:val="left" w:pos="3420"/>
        </w:tabs>
        <w:spacing w:line="600" w:lineRule="auto"/>
        <w:jc w:val="left"/>
        <w:rPr>
          <w:rFonts w:hint="eastAsia" w:ascii="宋体" w:hAnsi="宋体" w:eastAsia="宋体"/>
          <w:bCs/>
          <w:color w:val="000000" w:themeColor="text1"/>
          <w:sz w:val="36"/>
          <w:szCs w:val="36"/>
          <w:highlight w:val="none"/>
          <w:lang w:eastAsia="zh-CN"/>
          <w14:textFill>
            <w14:solidFill>
              <w14:schemeClr w14:val="tx1"/>
            </w14:solidFill>
          </w14:textFill>
        </w:rPr>
        <w:sectPr>
          <w:headerReference r:id="rId3" w:type="default"/>
          <w:footerReference r:id="rId4" w:type="default"/>
          <w:type w:val="nextColumn"/>
          <w:pgSz w:w="11906" w:h="16838"/>
          <w:pgMar w:top="1440" w:right="1800" w:bottom="1440" w:left="1800" w:header="851" w:footer="992" w:gutter="0"/>
          <w:cols w:space="1701" w:num="1"/>
          <w:titlePg/>
          <w:docGrid w:linePitch="360" w:charSpace="0"/>
        </w:sectPr>
      </w:pPr>
      <w:r>
        <w:rPr>
          <w:rFonts w:hint="eastAsia" w:ascii="宋体" w:hAnsi="宋体"/>
          <w:bCs/>
          <w:color w:val="000000" w:themeColor="text1"/>
          <w:sz w:val="36"/>
          <w:szCs w:val="36"/>
          <w:highlight w:val="none"/>
          <w14:textFill>
            <w14:solidFill>
              <w14:schemeClr w14:val="tx1"/>
            </w14:solidFill>
          </w14:textFill>
        </w:rPr>
        <w:t>采购</w:t>
      </w:r>
      <w:r>
        <w:rPr>
          <w:rFonts w:ascii="宋体" w:hAnsi="宋体"/>
          <w:bCs/>
          <w:color w:val="000000" w:themeColor="text1"/>
          <w:sz w:val="36"/>
          <w:szCs w:val="36"/>
          <w:highlight w:val="none"/>
          <w14:textFill>
            <w14:solidFill>
              <w14:schemeClr w14:val="tx1"/>
            </w14:solidFill>
          </w14:textFill>
        </w:rPr>
        <w:t>代理机构：</w:t>
      </w:r>
      <w:r>
        <w:rPr>
          <w:rFonts w:hint="eastAsia" w:ascii="宋体" w:hAnsi="宋体"/>
          <w:bCs/>
          <w:color w:val="000000" w:themeColor="text1"/>
          <w:sz w:val="36"/>
          <w:szCs w:val="36"/>
          <w:highlight w:val="none"/>
          <w:lang w:eastAsia="zh-CN"/>
          <w14:textFill>
            <w14:solidFill>
              <w14:schemeClr w14:val="tx1"/>
            </w14:solidFill>
          </w14:textFill>
        </w:rPr>
        <w:t>江苏华溯工程项目管理有限公司</w:t>
      </w:r>
    </w:p>
    <w:p w14:paraId="3AD98E74">
      <w:pPr>
        <w:widowControl/>
        <w:jc w:val="center"/>
        <w:rPr>
          <w:rFonts w:hint="eastAsia" w:ascii="宋体" w:hAnsi="宋体"/>
          <w:b/>
          <w:bCs/>
          <w:color w:val="000000" w:themeColor="text1"/>
          <w:sz w:val="36"/>
          <w:szCs w:val="36"/>
          <w:highlight w:val="none"/>
          <w14:textFill>
            <w14:solidFill>
              <w14:schemeClr w14:val="tx1"/>
            </w14:solidFill>
          </w14:textFill>
        </w:rPr>
      </w:pPr>
      <w:r>
        <w:rPr>
          <w:rFonts w:ascii="宋体" w:hAnsi="宋体"/>
          <w:b/>
          <w:bCs/>
          <w:color w:val="000000" w:themeColor="text1"/>
          <w:sz w:val="36"/>
          <w:szCs w:val="36"/>
          <w:highlight w:val="none"/>
          <w14:textFill>
            <w14:solidFill>
              <w14:schemeClr w14:val="tx1"/>
            </w14:solidFill>
          </w14:textFill>
        </w:rPr>
        <w:t>目录</w:t>
      </w:r>
    </w:p>
    <w:p w14:paraId="36C2061C">
      <w:pPr>
        <w:pStyle w:val="20"/>
        <w:tabs>
          <w:tab w:val="right" w:leader="dot" w:pos="8296"/>
        </w:tabs>
        <w:spacing w:after="0" w:line="480" w:lineRule="auto"/>
        <w:ind w:left="0" w:right="0" w:firstLine="0"/>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pP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begin"/>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instrText xml:space="preserve"> TOC \o "1-1" \h \z \u </w:instrText>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separate"/>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begin"/>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instrText xml:space="preserve"> HYPERLINK \l "_Toc123719645" </w:instrText>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separate"/>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t>第一章</w:t>
      </w:r>
      <w:r>
        <w:rPr>
          <w:rStyle w:val="34"/>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 xml:space="preserve"> </w:t>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t>采购邀请</w:t>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end"/>
      </w:r>
    </w:p>
    <w:p w14:paraId="1ADE26FE">
      <w:pPr>
        <w:pStyle w:val="20"/>
        <w:tabs>
          <w:tab w:val="right" w:leader="dot" w:pos="8296"/>
        </w:tabs>
        <w:spacing w:after="0" w:line="480" w:lineRule="auto"/>
        <w:ind w:left="0" w:right="0" w:firstLine="0"/>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pP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begin"/>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instrText xml:space="preserve"> HYPERLINK \l "_Toc123719646" </w:instrText>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separate"/>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t>第二章</w:t>
      </w:r>
      <w:r>
        <w:rPr>
          <w:rStyle w:val="34"/>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 xml:space="preserve"> </w:t>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t>供应商须知</w:t>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end"/>
      </w:r>
    </w:p>
    <w:p w14:paraId="0A3A8B58">
      <w:pPr>
        <w:pStyle w:val="20"/>
        <w:tabs>
          <w:tab w:val="right" w:leader="dot" w:pos="8296"/>
        </w:tabs>
        <w:spacing w:after="0" w:line="480" w:lineRule="auto"/>
        <w:ind w:left="0" w:right="0" w:firstLine="0"/>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pP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begin"/>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instrText xml:space="preserve"> HYPERLINK \l "_Toc123719647" </w:instrText>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separate"/>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t>第三章</w:t>
      </w:r>
      <w:r>
        <w:rPr>
          <w:rStyle w:val="34"/>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 xml:space="preserve"> </w:t>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t>评审程序、评审方法和评审标准</w:t>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end"/>
      </w:r>
    </w:p>
    <w:p w14:paraId="1FF5351D">
      <w:pPr>
        <w:pStyle w:val="20"/>
        <w:tabs>
          <w:tab w:val="right" w:leader="dot" w:pos="8296"/>
        </w:tabs>
        <w:spacing w:after="0" w:line="480" w:lineRule="auto"/>
        <w:ind w:left="0" w:right="0" w:firstLine="0"/>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pP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begin"/>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instrText xml:space="preserve"> HYPERLINK \l "_Toc123719648" </w:instrText>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separate"/>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t>第四章</w:t>
      </w:r>
      <w:r>
        <w:rPr>
          <w:rStyle w:val="34"/>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 xml:space="preserve"> </w:t>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t>采购需求</w:t>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end"/>
      </w:r>
    </w:p>
    <w:p w14:paraId="021DE72B">
      <w:pPr>
        <w:pStyle w:val="20"/>
        <w:tabs>
          <w:tab w:val="right" w:leader="dot" w:pos="8296"/>
        </w:tabs>
        <w:spacing w:after="0" w:line="480" w:lineRule="auto"/>
        <w:ind w:left="0" w:right="0" w:firstLine="0"/>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pP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begin"/>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instrText xml:space="preserve"> HYPERLINK \l "_Toc123719649" </w:instrText>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separate"/>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t>第五章</w:t>
      </w:r>
      <w:r>
        <w:rPr>
          <w:rStyle w:val="34"/>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 xml:space="preserve"> </w:t>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t>合同草案条款</w:t>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end"/>
      </w:r>
    </w:p>
    <w:p w14:paraId="67B685FB">
      <w:pPr>
        <w:pStyle w:val="20"/>
        <w:tabs>
          <w:tab w:val="right" w:leader="dot" w:pos="8296"/>
        </w:tabs>
        <w:spacing w:after="0" w:line="480" w:lineRule="auto"/>
        <w:ind w:left="0" w:right="0" w:firstLine="0"/>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pP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begin"/>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instrText xml:space="preserve"> HYPERLINK \l "_Toc123719650" </w:instrText>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separate"/>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t>第六章</w:t>
      </w:r>
      <w:r>
        <w:rPr>
          <w:rStyle w:val="34"/>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 xml:space="preserve"> </w:t>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t>响应文件格式</w:t>
      </w: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end"/>
      </w:r>
    </w:p>
    <w:p w14:paraId="0AB65552">
      <w:pPr>
        <w:pStyle w:val="20"/>
        <w:tabs>
          <w:tab w:val="right" w:leader="dot" w:pos="8296"/>
        </w:tabs>
        <w:spacing w:after="0" w:line="480" w:lineRule="auto"/>
        <w:ind w:left="0" w:right="0" w:firstLine="0"/>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pPr>
      <w:r>
        <w:rPr>
          <w:rStyle w:val="34"/>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end"/>
      </w:r>
    </w:p>
    <w:p w14:paraId="2C8B5EA4">
      <w:pPr>
        <w:pStyle w:val="236"/>
        <w:spacing w:line="360" w:lineRule="auto"/>
        <w:rPr>
          <w:b w:val="0"/>
          <w:color w:val="000000" w:themeColor="text1"/>
          <w:sz w:val="36"/>
          <w:szCs w:val="36"/>
          <w:highlight w:val="none"/>
          <w14:textFill>
            <w14:solidFill>
              <w14:schemeClr w14:val="tx1"/>
            </w14:solidFill>
          </w14:textFill>
        </w:rPr>
      </w:pPr>
    </w:p>
    <w:p w14:paraId="3063CA43">
      <w:pPr>
        <w:spacing w:line="360" w:lineRule="auto"/>
        <w:jc w:val="center"/>
        <w:outlineLvl w:val="0"/>
        <w:rPr>
          <w:b/>
          <w:color w:val="000000" w:themeColor="text1"/>
          <w:sz w:val="36"/>
          <w:szCs w:val="36"/>
          <w:highlight w:val="none"/>
          <w14:textFill>
            <w14:solidFill>
              <w14:schemeClr w14:val="tx1"/>
            </w14:solidFill>
          </w14:textFill>
        </w:rPr>
        <w:sectPr>
          <w:headerReference r:id="rId6" w:type="first"/>
          <w:footerReference r:id="rId9" w:type="first"/>
          <w:headerReference r:id="rId5" w:type="default"/>
          <w:footerReference r:id="rId7" w:type="default"/>
          <w:footerReference r:id="rId8" w:type="even"/>
          <w:type w:val="nextColumn"/>
          <w:pgSz w:w="11907" w:h="16840"/>
          <w:pgMar w:top="1418" w:right="1134" w:bottom="1418" w:left="1134" w:header="851" w:footer="851" w:gutter="0"/>
          <w:pgNumType w:start="1"/>
          <w:cols w:space="1701" w:num="1"/>
          <w:titlePg/>
          <w:docGrid w:linePitch="360" w:charSpace="0"/>
        </w:sectPr>
      </w:pPr>
      <w:r>
        <w:rPr>
          <w:b/>
          <w:color w:val="000000" w:themeColor="text1"/>
          <w:sz w:val="36"/>
          <w:szCs w:val="36"/>
          <w:highlight w:val="none"/>
          <w14:textFill>
            <w14:solidFill>
              <w14:schemeClr w14:val="tx1"/>
            </w14:solidFill>
          </w14:textFill>
        </w:rPr>
        <w:br w:type="page" w:clear="all"/>
      </w:r>
    </w:p>
    <w:p w14:paraId="110824CD">
      <w:pPr>
        <w:spacing w:line="360" w:lineRule="auto"/>
        <w:jc w:val="center"/>
        <w:outlineLvl w:val="0"/>
        <w:rPr>
          <w:b/>
          <w:color w:val="000000" w:themeColor="text1"/>
          <w:sz w:val="36"/>
          <w:szCs w:val="36"/>
          <w:highlight w:val="none"/>
          <w14:textFill>
            <w14:solidFill>
              <w14:schemeClr w14:val="tx1"/>
            </w14:solidFill>
          </w14:textFill>
        </w:rPr>
      </w:pPr>
      <w:bookmarkStart w:id="0" w:name="_Toc104818925"/>
      <w:r>
        <w:rPr>
          <w:b/>
          <w:color w:val="000000" w:themeColor="text1"/>
          <w:sz w:val="36"/>
          <w:szCs w:val="36"/>
          <w:highlight w:val="none"/>
          <w14:textFill>
            <w14:solidFill>
              <w14:schemeClr w14:val="tx1"/>
            </w14:solidFill>
          </w14:textFill>
        </w:rPr>
        <w:t>第一章   采购邀请</w:t>
      </w:r>
      <w:bookmarkEnd w:id="0"/>
      <w:bookmarkStart w:id="1" w:name="_Toc35393790"/>
      <w:bookmarkStart w:id="2" w:name="_Toc28359079"/>
      <w:bookmarkStart w:id="3" w:name="_Toc35393621"/>
      <w:bookmarkStart w:id="4" w:name="_Toc28359002"/>
      <w:bookmarkStart w:id="5" w:name="_Hlk24379207"/>
    </w:p>
    <w:p w14:paraId="02BCD4D3">
      <w:pPr>
        <w:pStyle w:val="186"/>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一、项目基本情况</w:t>
      </w:r>
      <w:bookmarkEnd w:id="1"/>
      <w:bookmarkEnd w:id="2"/>
      <w:bookmarkEnd w:id="3"/>
      <w:bookmarkEnd w:id="4"/>
    </w:p>
    <w:p w14:paraId="4B4E1CA0">
      <w:pPr>
        <w:spacing w:line="360" w:lineRule="auto"/>
        <w:ind w:firstLine="480"/>
        <w:rPr>
          <w:rFonts w:hint="eastAsia" w:ascii="Times New Roman" w:hAnsi="Times New Roman" w:eastAsia="宋体" w:cs="Times New Roman"/>
          <w:color w:val="000000" w:themeColor="text1"/>
          <w:sz w:val="24"/>
          <w:highlight w:val="none"/>
          <w:u w:val="none"/>
          <w:lang w:eastAsia="zh-CN"/>
          <w14:textFill>
            <w14:solidFill>
              <w14:schemeClr w14:val="tx1"/>
            </w14:solidFill>
          </w14:textFill>
        </w:rPr>
      </w:pPr>
      <w:r>
        <w:rPr>
          <w:rFonts w:hint="eastAsia" w:ascii="Times New Roman" w:hAnsi="Times New Roman" w:eastAsia="宋体" w:cs="Times New Roman"/>
          <w:color w:val="000000" w:themeColor="text1"/>
          <w:sz w:val="24"/>
          <w:highlight w:val="none"/>
          <w:u w:val="none"/>
          <w14:textFill>
            <w14:solidFill>
              <w14:schemeClr w14:val="tx1"/>
            </w14:solidFill>
          </w14:textFill>
        </w:rPr>
        <w:t>1.项目编号/包号：</w:t>
      </w:r>
      <w:r>
        <w:rPr>
          <w:rFonts w:hint="eastAsia" w:cs="Times New Roman"/>
          <w:color w:val="000000" w:themeColor="text1"/>
          <w:sz w:val="24"/>
          <w:highlight w:val="none"/>
          <w:u w:val="none"/>
          <w:lang w:eastAsia="zh-CN"/>
          <w14:textFill>
            <w14:solidFill>
              <w14:schemeClr w14:val="tx1"/>
            </w14:solidFill>
          </w14:textFill>
        </w:rPr>
        <w:t>JSZC-320413-HSGS-C2025-0056</w:t>
      </w:r>
    </w:p>
    <w:p w14:paraId="6495B46B">
      <w:pPr>
        <w:spacing w:line="360" w:lineRule="auto"/>
        <w:ind w:firstLine="480"/>
        <w:rPr>
          <w:rFonts w:hint="eastAsia"/>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2.项目名称：</w:t>
      </w:r>
      <w:r>
        <w:rPr>
          <w:rFonts w:hint="eastAsia"/>
          <w:color w:val="000000" w:themeColor="text1"/>
          <w:sz w:val="24"/>
          <w:highlight w:val="none"/>
          <w:lang w:eastAsia="zh-CN"/>
          <w14:textFill>
            <w14:solidFill>
              <w14:schemeClr w14:val="tx1"/>
            </w14:solidFill>
          </w14:textFill>
        </w:rPr>
        <w:t>朱林镇</w:t>
      </w:r>
      <w:r>
        <w:rPr>
          <w:rFonts w:hint="eastAsia"/>
          <w:color w:val="000000" w:themeColor="text1"/>
          <w:sz w:val="24"/>
          <w:highlight w:val="none"/>
          <w:lang w:val="en-US" w:eastAsia="zh-CN"/>
          <w14:textFill>
            <w14:solidFill>
              <w14:schemeClr w14:val="tx1"/>
            </w14:solidFill>
          </w14:textFill>
        </w:rPr>
        <w:t>2026-</w:t>
      </w:r>
      <w:r>
        <w:rPr>
          <w:rFonts w:hint="eastAsia"/>
          <w:color w:val="000000" w:themeColor="text1"/>
          <w:sz w:val="24"/>
          <w:highlight w:val="none"/>
          <w:lang w:eastAsia="zh-CN"/>
          <w14:textFill>
            <w14:solidFill>
              <w14:schemeClr w14:val="tx1"/>
            </w14:solidFill>
          </w14:textFill>
        </w:rPr>
        <w:t>202</w:t>
      </w:r>
      <w:r>
        <w:rPr>
          <w:rFonts w:hint="eastAsia"/>
          <w:color w:val="000000" w:themeColor="text1"/>
          <w:sz w:val="24"/>
          <w:highlight w:val="none"/>
          <w:lang w:val="en-US" w:eastAsia="zh-CN"/>
          <w14:textFill>
            <w14:solidFill>
              <w14:schemeClr w14:val="tx1"/>
            </w14:solidFill>
          </w14:textFill>
        </w:rPr>
        <w:t>8</w:t>
      </w:r>
      <w:r>
        <w:rPr>
          <w:rFonts w:hint="eastAsia"/>
          <w:color w:val="000000" w:themeColor="text1"/>
          <w:sz w:val="24"/>
          <w:highlight w:val="none"/>
          <w:lang w:eastAsia="zh-CN"/>
          <w14:textFill>
            <w14:solidFill>
              <w14:schemeClr w14:val="tx1"/>
            </w14:solidFill>
          </w14:textFill>
        </w:rPr>
        <w:t>年度集镇</w:t>
      </w:r>
      <w:r>
        <w:rPr>
          <w:rFonts w:hint="eastAsia"/>
          <w:color w:val="000000" w:themeColor="text1"/>
          <w:sz w:val="24"/>
          <w:highlight w:val="none"/>
          <w:lang w:val="en-US" w:eastAsia="zh-CN"/>
          <w14:textFill>
            <w14:solidFill>
              <w14:schemeClr w14:val="tx1"/>
            </w14:solidFill>
          </w14:textFill>
        </w:rPr>
        <w:t>及园区</w:t>
      </w:r>
      <w:r>
        <w:rPr>
          <w:rFonts w:hint="eastAsia"/>
          <w:color w:val="000000" w:themeColor="text1"/>
          <w:sz w:val="24"/>
          <w:highlight w:val="none"/>
          <w:lang w:eastAsia="zh-CN"/>
          <w14:textFill>
            <w14:solidFill>
              <w14:schemeClr w14:val="tx1"/>
            </w14:solidFill>
          </w14:textFill>
        </w:rPr>
        <w:t>绿化养护</w:t>
      </w:r>
      <w:r>
        <w:rPr>
          <w:rFonts w:hint="eastAsia"/>
          <w:color w:val="000000" w:themeColor="text1"/>
          <w:sz w:val="24"/>
          <w:highlight w:val="none"/>
          <w:lang w:val="en-US" w:eastAsia="zh-CN"/>
          <w14:textFill>
            <w14:solidFill>
              <w14:schemeClr w14:val="tx1"/>
            </w14:solidFill>
          </w14:textFill>
        </w:rPr>
        <w:t>市场化运作</w:t>
      </w:r>
      <w:r>
        <w:rPr>
          <w:rFonts w:hint="eastAsia"/>
          <w:color w:val="000000" w:themeColor="text1"/>
          <w:sz w:val="24"/>
          <w:highlight w:val="none"/>
          <w:lang w:eastAsia="zh-CN"/>
          <w14:textFill>
            <w14:solidFill>
              <w14:schemeClr w14:val="tx1"/>
            </w14:solidFill>
          </w14:textFill>
        </w:rPr>
        <w:t>项目</w:t>
      </w:r>
    </w:p>
    <w:p w14:paraId="7E2E3617">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3.采购方式：</w:t>
      </w:r>
      <w:r>
        <w:rPr>
          <w:color w:val="000000" w:themeColor="text1"/>
          <w:sz w:val="24"/>
          <w:highlight w:val="none"/>
          <w:u w:val="single"/>
          <w14:textFill>
            <w14:solidFill>
              <w14:schemeClr w14:val="tx1"/>
            </w14:solidFill>
          </w14:textFill>
        </w:rPr>
        <w:t>竞争性磋商</w:t>
      </w:r>
      <w:bookmarkEnd w:id="5"/>
    </w:p>
    <w:p w14:paraId="4722AD4B">
      <w:pPr>
        <w:spacing w:line="360" w:lineRule="auto"/>
        <w:ind w:firstLine="480"/>
        <w:rPr>
          <w:rFonts w:hint="default"/>
          <w:color w:val="000000" w:themeColor="text1"/>
          <w:sz w:val="24"/>
          <w:highlight w:val="none"/>
          <w:lang w:val="en-US"/>
          <w14:textFill>
            <w14:solidFill>
              <w14:schemeClr w14:val="tx1"/>
            </w14:solidFill>
          </w14:textFill>
        </w:rPr>
      </w:pPr>
      <w:r>
        <w:rPr>
          <w:color w:val="000000" w:themeColor="text1"/>
          <w:sz w:val="24"/>
          <w:highlight w:val="none"/>
          <w14:textFill>
            <w14:solidFill>
              <w14:schemeClr w14:val="tx1"/>
            </w14:solidFill>
          </w14:textFill>
        </w:rPr>
        <w:t>4.项目预算金额：</w:t>
      </w:r>
      <w:r>
        <w:rPr>
          <w:rFonts w:hint="eastAsia" w:cs="Times New Roman"/>
          <w:color w:val="000000" w:themeColor="text1"/>
          <w:sz w:val="24"/>
          <w:highlight w:val="none"/>
          <w:u w:val="single"/>
          <w:lang w:val="en-US" w:eastAsia="zh-CN"/>
          <w14:textFill>
            <w14:solidFill>
              <w14:schemeClr w14:val="tx1"/>
            </w14:solidFill>
          </w14:textFill>
        </w:rPr>
        <w:t>210万元/3年</w:t>
      </w:r>
    </w:p>
    <w:p w14:paraId="1F150FD9">
      <w:pPr>
        <w:spacing w:line="360" w:lineRule="auto"/>
        <w:ind w:firstLine="480" w:firstLineChars="200"/>
        <w:rPr>
          <w:rFonts w:hint="eastAsia" w:cs="Times New Roman"/>
          <w:color w:val="0000FF"/>
          <w:sz w:val="24"/>
          <w:highlight w:val="none"/>
          <w:lang w:val="en-US" w:eastAsia="zh-CN"/>
        </w:rPr>
      </w:pPr>
      <w:r>
        <w:rPr>
          <w:rFonts w:ascii="Times New Roman" w:hAnsi="Times New Roman" w:cs="Times New Roman"/>
          <w:color w:val="0000FF"/>
          <w:sz w:val="24"/>
          <w:highlight w:val="none"/>
        </w:rPr>
        <w:t>5.</w:t>
      </w:r>
      <w:r>
        <w:rPr>
          <w:rFonts w:hint="eastAsia" w:eastAsia="宋体"/>
          <w:color w:val="0000FF"/>
          <w:sz w:val="24"/>
          <w:highlight w:val="none"/>
          <w:lang w:eastAsia="zh-CN"/>
        </w:rPr>
        <w:t>最高限价</w:t>
      </w:r>
      <w:r>
        <w:rPr>
          <w:rFonts w:hint="eastAsia"/>
          <w:color w:val="0000FF"/>
          <w:sz w:val="24"/>
          <w:highlight w:val="none"/>
          <w:lang w:eastAsia="zh-CN"/>
        </w:rPr>
        <w:t>：</w:t>
      </w:r>
      <w:r>
        <w:rPr>
          <w:rFonts w:hint="eastAsia" w:cs="Times New Roman"/>
          <w:color w:val="0000FF"/>
          <w:sz w:val="24"/>
          <w:highlight w:val="none"/>
          <w:lang w:val="en-US" w:eastAsia="zh-CN"/>
        </w:rPr>
        <w:t>70万元/年，</w:t>
      </w:r>
      <w:r>
        <w:rPr>
          <w:rFonts w:hint="eastAsia" w:ascii="Times New Roman" w:hAnsi="Times New Roman" w:eastAsia="宋体" w:cs="Times New Roman"/>
          <w:kern w:val="2"/>
          <w:sz w:val="24"/>
          <w:highlight w:val="none"/>
          <w:lang w:val="en-US" w:eastAsia="zh-CN"/>
        </w:rPr>
        <w:t>投标报价不得高于最高限价,超过最高限价的作无效响应文件处理</w:t>
      </w:r>
      <w:r>
        <w:rPr>
          <w:rFonts w:hint="eastAsia" w:ascii="Times New Roman" w:hAnsi="Times New Roman" w:eastAsia="宋体" w:cs="Times New Roman"/>
          <w:kern w:val="2"/>
          <w:sz w:val="24"/>
          <w:highlight w:val="none"/>
          <w:lang w:eastAsia="zh-CN"/>
        </w:rPr>
        <w:t>。</w:t>
      </w:r>
    </w:p>
    <w:p w14:paraId="4C78FA56">
      <w:pPr>
        <w:spacing w:line="360" w:lineRule="auto"/>
        <w:ind w:firstLine="480"/>
        <w:rPr>
          <w:rFonts w:ascii="Times New Roman" w:hAnsi="Times New Roman" w:cs="Times New Roman"/>
          <w:color w:val="000000" w:themeColor="text1"/>
          <w:sz w:val="24"/>
          <w:highlight w:val="none"/>
          <w14:textFill>
            <w14:solidFill>
              <w14:schemeClr w14:val="tx1"/>
            </w14:solidFill>
          </w14:textFill>
        </w:rPr>
      </w:pPr>
      <w:r>
        <w:rPr>
          <w:rFonts w:hint="eastAsia" w:ascii="Times New Roman" w:hAnsi="Times New Roman" w:cs="Times New Roman"/>
          <w:color w:val="000000" w:themeColor="text1"/>
          <w:sz w:val="24"/>
          <w:highlight w:val="none"/>
          <w:lang w:val="en-US" w:eastAsia="zh-CN"/>
          <w14:textFill>
            <w14:solidFill>
              <w14:schemeClr w14:val="tx1"/>
            </w14:solidFill>
          </w14:textFill>
        </w:rPr>
        <w:t>6.</w:t>
      </w:r>
      <w:r>
        <w:rPr>
          <w:rFonts w:ascii="Times New Roman" w:hAnsi="Times New Roman" w:cs="Times New Roman"/>
          <w:color w:val="000000" w:themeColor="text1"/>
          <w:sz w:val="24"/>
          <w:highlight w:val="none"/>
          <w14:textFill>
            <w14:solidFill>
              <w14:schemeClr w14:val="tx1"/>
            </w14:solidFill>
          </w14:textFill>
        </w:rPr>
        <w:t>采购需求：</w:t>
      </w:r>
    </w:p>
    <w:tbl>
      <w:tblPr>
        <w:tblStyle w:val="30"/>
        <w:tblW w:w="5001" w:type="pct"/>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2"/>
        <w:gridCol w:w="3296"/>
        <w:gridCol w:w="1816"/>
        <w:gridCol w:w="1140"/>
        <w:gridCol w:w="2833"/>
      </w:tblGrid>
      <w:tr w14:paraId="7B7315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atLeast"/>
        </w:trPr>
        <w:tc>
          <w:tcPr>
            <w:tcW w:w="391" w:type="dxa"/>
            <w:noWrap w:val="0"/>
            <w:vAlign w:val="center"/>
          </w:tcPr>
          <w:p w14:paraId="4731FFA7">
            <w:pPr>
              <w:jc w:val="center"/>
              <w:rPr>
                <w:b/>
                <w:bCs w:val="0"/>
                <w:color w:val="000000" w:themeColor="text1"/>
                <w:szCs w:val="21"/>
                <w:highlight w:val="none"/>
                <w14:textFill>
                  <w14:solidFill>
                    <w14:schemeClr w14:val="tx1"/>
                  </w14:solidFill>
                </w14:textFill>
              </w:rPr>
            </w:pPr>
            <w:r>
              <w:rPr>
                <w:b/>
                <w:bCs w:val="0"/>
                <w:color w:val="000000" w:themeColor="text1"/>
                <w:szCs w:val="21"/>
                <w:highlight w:val="none"/>
                <w14:textFill>
                  <w14:solidFill>
                    <w14:schemeClr w14:val="tx1"/>
                  </w14:solidFill>
                </w14:textFill>
              </w:rPr>
              <w:t>包号</w:t>
            </w:r>
          </w:p>
        </w:tc>
        <w:tc>
          <w:tcPr>
            <w:tcW w:w="1671" w:type="dxa"/>
            <w:noWrap w:val="0"/>
            <w:vAlign w:val="center"/>
          </w:tcPr>
          <w:p w14:paraId="6A156D54">
            <w:pPr>
              <w:jc w:val="center"/>
              <w:rPr>
                <w:b/>
                <w:bCs w:val="0"/>
                <w:color w:val="000000" w:themeColor="text1"/>
                <w:szCs w:val="21"/>
                <w:highlight w:val="none"/>
                <w14:textFill>
                  <w14:solidFill>
                    <w14:schemeClr w14:val="tx1"/>
                  </w14:solidFill>
                </w14:textFill>
              </w:rPr>
            </w:pPr>
            <w:r>
              <w:rPr>
                <w:b/>
                <w:bCs w:val="0"/>
                <w:color w:val="000000" w:themeColor="text1"/>
                <w:szCs w:val="21"/>
                <w:highlight w:val="none"/>
                <w14:textFill>
                  <w14:solidFill>
                    <w14:schemeClr w14:val="tx1"/>
                  </w14:solidFill>
                </w14:textFill>
              </w:rPr>
              <w:t>标的名称</w:t>
            </w:r>
          </w:p>
        </w:tc>
        <w:tc>
          <w:tcPr>
            <w:tcW w:w="921" w:type="dxa"/>
            <w:noWrap w:val="0"/>
            <w:vAlign w:val="center"/>
          </w:tcPr>
          <w:p w14:paraId="0920C787">
            <w:pPr>
              <w:pageBreakBefore w:val="0"/>
              <w:spacing w:line="440" w:lineRule="exact"/>
              <w:jc w:val="center"/>
              <w:rPr>
                <w:b/>
                <w:bCs w:val="0"/>
                <w:color w:val="0000FF"/>
                <w:szCs w:val="21"/>
                <w:highlight w:val="none"/>
              </w:rPr>
            </w:pPr>
            <w:r>
              <w:rPr>
                <w:rFonts w:hint="eastAsia"/>
                <w:b/>
                <w:bCs w:val="0"/>
                <w:color w:val="0000FF"/>
                <w:sz w:val="24"/>
                <w:szCs w:val="24"/>
                <w:highlight w:val="none"/>
                <w:lang w:eastAsia="zh-CN"/>
              </w:rPr>
              <w:t>最高限价</w:t>
            </w:r>
            <w:r>
              <w:rPr>
                <w:b/>
                <w:bCs w:val="0"/>
                <w:color w:val="0000FF"/>
                <w:sz w:val="24"/>
                <w:szCs w:val="24"/>
                <w:highlight w:val="none"/>
              </w:rPr>
              <w:t>（万元</w:t>
            </w:r>
            <w:r>
              <w:rPr>
                <w:rFonts w:hint="eastAsia"/>
                <w:b/>
                <w:bCs w:val="0"/>
                <w:color w:val="0000FF"/>
                <w:sz w:val="24"/>
                <w:szCs w:val="24"/>
                <w:highlight w:val="none"/>
                <w:lang w:val="en-US" w:eastAsia="zh-CN"/>
              </w:rPr>
              <w:t>/年</w:t>
            </w:r>
            <w:r>
              <w:rPr>
                <w:b/>
                <w:bCs w:val="0"/>
                <w:color w:val="0000FF"/>
                <w:sz w:val="24"/>
                <w:szCs w:val="24"/>
                <w:highlight w:val="none"/>
              </w:rPr>
              <w:t>）</w:t>
            </w:r>
          </w:p>
        </w:tc>
        <w:tc>
          <w:tcPr>
            <w:tcW w:w="578" w:type="dxa"/>
            <w:noWrap w:val="0"/>
            <w:vAlign w:val="center"/>
          </w:tcPr>
          <w:p w14:paraId="3ABF8438">
            <w:pPr>
              <w:jc w:val="center"/>
              <w:rPr>
                <w:b/>
                <w:bCs w:val="0"/>
                <w:color w:val="000000" w:themeColor="text1"/>
                <w:szCs w:val="21"/>
                <w:highlight w:val="none"/>
                <w14:textFill>
                  <w14:solidFill>
                    <w14:schemeClr w14:val="tx1"/>
                  </w14:solidFill>
                </w14:textFill>
              </w:rPr>
            </w:pPr>
            <w:r>
              <w:rPr>
                <w:b/>
                <w:bCs w:val="0"/>
                <w:color w:val="000000" w:themeColor="text1"/>
                <w:szCs w:val="21"/>
                <w:highlight w:val="none"/>
                <w14:textFill>
                  <w14:solidFill>
                    <w14:schemeClr w14:val="tx1"/>
                  </w14:solidFill>
                </w14:textFill>
              </w:rPr>
              <w:t>数量</w:t>
            </w:r>
          </w:p>
        </w:tc>
        <w:tc>
          <w:tcPr>
            <w:tcW w:w="1437" w:type="dxa"/>
            <w:noWrap w:val="0"/>
            <w:vAlign w:val="center"/>
          </w:tcPr>
          <w:p w14:paraId="0206ACFA">
            <w:pPr>
              <w:jc w:val="center"/>
              <w:rPr>
                <w:b/>
                <w:bCs w:val="0"/>
                <w:color w:val="000000" w:themeColor="text1"/>
                <w:szCs w:val="21"/>
                <w:highlight w:val="none"/>
                <w14:textFill>
                  <w14:solidFill>
                    <w14:schemeClr w14:val="tx1"/>
                  </w14:solidFill>
                </w14:textFill>
              </w:rPr>
            </w:pPr>
            <w:r>
              <w:rPr>
                <w:b/>
                <w:bCs w:val="0"/>
                <w:color w:val="000000" w:themeColor="text1"/>
                <w:szCs w:val="21"/>
                <w:highlight w:val="none"/>
                <w14:textFill>
                  <w14:solidFill>
                    <w14:schemeClr w14:val="tx1"/>
                  </w14:solidFill>
                </w14:textFill>
              </w:rPr>
              <w:t>简要技术需求或服务要求</w:t>
            </w:r>
          </w:p>
        </w:tc>
      </w:tr>
      <w:tr w14:paraId="7478B4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2" w:hRule="atLeast"/>
        </w:trPr>
        <w:tc>
          <w:tcPr>
            <w:tcW w:w="391" w:type="dxa"/>
            <w:noWrap w:val="0"/>
            <w:vAlign w:val="center"/>
          </w:tcPr>
          <w:p w14:paraId="1A6EF856">
            <w:pPr>
              <w:jc w:val="center"/>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01</w:t>
            </w:r>
          </w:p>
        </w:tc>
        <w:tc>
          <w:tcPr>
            <w:tcW w:w="1671" w:type="dxa"/>
            <w:noWrap w:val="0"/>
            <w:vAlign w:val="center"/>
          </w:tcPr>
          <w:p w14:paraId="22FAA8A0">
            <w:pPr>
              <w:jc w:val="center"/>
              <w:rPr>
                <w:rFonts w:hint="eastAsia" w:eastAsia="宋体"/>
                <w:bCs/>
                <w:color w:val="000000" w:themeColor="text1"/>
                <w:szCs w:val="21"/>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朱林镇2026-2028年度集镇及园区绿化养护市场化运作项目</w:t>
            </w:r>
          </w:p>
        </w:tc>
        <w:tc>
          <w:tcPr>
            <w:tcW w:w="921" w:type="dxa"/>
            <w:noWrap w:val="0"/>
            <w:vAlign w:val="center"/>
          </w:tcPr>
          <w:p w14:paraId="5E697C32">
            <w:pPr>
              <w:pageBreakBefore w:val="0"/>
              <w:spacing w:line="440" w:lineRule="exact"/>
              <w:jc w:val="center"/>
              <w:rPr>
                <w:rFonts w:hint="default" w:eastAsia="宋体"/>
                <w:bCs/>
                <w:color w:val="0000FF"/>
                <w:szCs w:val="21"/>
                <w:highlight w:val="none"/>
                <w:lang w:val="en-US" w:eastAsia="zh-CN"/>
              </w:rPr>
            </w:pPr>
            <w:r>
              <w:rPr>
                <w:rFonts w:hint="eastAsia"/>
                <w:bCs/>
                <w:color w:val="0000FF"/>
                <w:szCs w:val="21"/>
                <w:highlight w:val="none"/>
                <w:lang w:val="en-US" w:eastAsia="zh-CN"/>
              </w:rPr>
              <w:t>70</w:t>
            </w:r>
          </w:p>
        </w:tc>
        <w:tc>
          <w:tcPr>
            <w:tcW w:w="578" w:type="dxa"/>
            <w:noWrap w:val="0"/>
            <w:vAlign w:val="center"/>
          </w:tcPr>
          <w:p w14:paraId="7E68BF62">
            <w:pPr>
              <w:jc w:val="center"/>
              <w:rPr>
                <w:rFonts w:eastAsia="宋体"/>
                <w:bCs/>
                <w:color w:val="000000" w:themeColor="text1"/>
                <w:szCs w:val="21"/>
                <w:highlight w:val="none"/>
                <w14:textFill>
                  <w14:solidFill>
                    <w14:schemeClr w14:val="tx1"/>
                  </w14:solidFill>
                </w14:textFill>
              </w:rPr>
            </w:pPr>
            <w:r>
              <w:rPr>
                <w:rFonts w:hint="eastAsia"/>
                <w:bCs/>
                <w:color w:val="000000" w:themeColor="text1"/>
                <w:szCs w:val="21"/>
                <w:highlight w:val="none"/>
                <w:lang w:val="en-US" w:eastAsia="zh-CN"/>
                <w14:textFill>
                  <w14:solidFill>
                    <w14:schemeClr w14:val="tx1"/>
                  </w14:solidFill>
                </w14:textFill>
              </w:rPr>
              <w:t>1</w:t>
            </w:r>
          </w:p>
        </w:tc>
        <w:tc>
          <w:tcPr>
            <w:tcW w:w="1437" w:type="dxa"/>
            <w:noWrap w:val="0"/>
            <w:vAlign w:val="center"/>
          </w:tcPr>
          <w:p w14:paraId="495106DA">
            <w:pPr>
              <w:jc w:val="center"/>
              <w:rPr>
                <w:rFonts w:eastAsia="宋体"/>
                <w:color w:val="000000" w:themeColor="text1"/>
                <w:szCs w:val="21"/>
                <w:highlight w:val="none"/>
                <w14:textFill>
                  <w14:solidFill>
                    <w14:schemeClr w14:val="tx1"/>
                  </w14:solidFill>
                </w14:textFill>
              </w:rPr>
            </w:pPr>
            <w:r>
              <w:rPr>
                <w:rFonts w:hint="eastAsia" w:eastAsia="宋体"/>
                <w:color w:val="000000" w:themeColor="text1"/>
                <w:szCs w:val="21"/>
                <w:highlight w:val="none"/>
                <w:lang w:val="en-US" w:eastAsia="zh-CN"/>
                <w14:textFill>
                  <w14:solidFill>
                    <w14:schemeClr w14:val="tx1"/>
                  </w14:solidFill>
                </w14:textFill>
              </w:rPr>
              <w:t>详见采购需求</w:t>
            </w:r>
          </w:p>
        </w:tc>
      </w:tr>
    </w:tbl>
    <w:p w14:paraId="6C7514B5">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合同履行期限：</w:t>
      </w:r>
      <w:r>
        <w:rPr>
          <w:rFonts w:hint="eastAsia" w:ascii="Times New Roman" w:hAnsi="Times New Roman" w:eastAsia="宋体" w:cs="Times New Roman"/>
          <w:kern w:val="2"/>
          <w:sz w:val="24"/>
          <w:highlight w:val="none"/>
          <w:lang w:val="en-US" w:eastAsia="zh-CN"/>
        </w:rPr>
        <w:t>三年，合同一年一签。合同期满经采购人同意且考核合格可续签下一年合同。如中标供应商下一年度不续签该服务合同，须在期满之日的2个月前通知采购人</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w:t>
      </w:r>
    </w:p>
    <w:p w14:paraId="162F1F1D">
      <w:pPr>
        <w:numPr>
          <w:ilvl w:val="0"/>
          <w:numId w:val="8"/>
        </w:num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本项目是否接受联合体：</w:t>
      </w:r>
      <w:r>
        <w:rPr>
          <w:rFonts w:hint="eastAsia"/>
          <w:color w:val="000000" w:themeColor="text1"/>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 xml:space="preserve">是  </w:t>
      </w:r>
      <w:r>
        <w:rPr>
          <w:rFonts w:hint="eastAsia"/>
          <w:color w:val="000000" w:themeColor="text1"/>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否。</w:t>
      </w:r>
    </w:p>
    <w:p w14:paraId="5A728669">
      <w:pPr>
        <w:pStyle w:val="186"/>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6" w:name="_Toc35393622"/>
      <w:bookmarkStart w:id="7" w:name="_Toc28359080"/>
      <w:bookmarkStart w:id="8" w:name="_Toc28359003"/>
      <w:bookmarkStart w:id="9" w:name="_Toc35393791"/>
      <w:r>
        <w:rPr>
          <w:rFonts w:ascii="Times New Roman" w:hAnsi="Times New Roman" w:eastAsia="宋体"/>
          <w:color w:val="000000" w:themeColor="text1"/>
          <w:sz w:val="24"/>
          <w:szCs w:val="24"/>
          <w:highlight w:val="none"/>
          <w14:textFill>
            <w14:solidFill>
              <w14:schemeClr w14:val="tx1"/>
            </w14:solidFill>
          </w14:textFill>
        </w:rPr>
        <w:t>二、申请人的资格要求（须同时满足）</w:t>
      </w:r>
      <w:bookmarkEnd w:id="6"/>
      <w:bookmarkEnd w:id="7"/>
      <w:bookmarkEnd w:id="8"/>
      <w:bookmarkEnd w:id="9"/>
    </w:p>
    <w:p w14:paraId="5920D5FD">
      <w:pPr>
        <w:spacing w:line="360" w:lineRule="auto"/>
        <w:ind w:firstLine="480"/>
        <w:rPr>
          <w:rFonts w:hint="eastAsia"/>
          <w:color w:val="000000" w:themeColor="text1"/>
          <w:sz w:val="24"/>
          <w:highlight w:val="none"/>
          <w14:textFill>
            <w14:solidFill>
              <w14:schemeClr w14:val="tx1"/>
            </w14:solidFill>
          </w14:textFill>
        </w:rPr>
      </w:pPr>
      <w:bookmarkStart w:id="10" w:name="_Toc28359081"/>
      <w:bookmarkStart w:id="11" w:name="_Toc28359004"/>
      <w:r>
        <w:rPr>
          <w:color w:val="000000" w:themeColor="text1"/>
          <w:sz w:val="24"/>
          <w:highlight w:val="none"/>
          <w14:textFill>
            <w14:solidFill>
              <w14:schemeClr w14:val="tx1"/>
            </w14:solidFill>
          </w14:textFill>
        </w:rPr>
        <w:t>1.满足《中华人民共和国政府采购法》第二十二条规定</w:t>
      </w:r>
      <w:r>
        <w:rPr>
          <w:rFonts w:hint="eastAsia"/>
          <w:color w:val="000000" w:themeColor="text1"/>
          <w:sz w:val="24"/>
          <w:highlight w:val="none"/>
          <w14:textFill>
            <w14:solidFill>
              <w14:schemeClr w14:val="tx1"/>
            </w14:solidFill>
          </w14:textFill>
        </w:rPr>
        <w:t>以及下列情形：</w:t>
      </w:r>
    </w:p>
    <w:p w14:paraId="68C52054">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1.1未被“信用中国”网站（WWW.creditchina.gov.cn）或“中国政府采购网”网站（www.ccgp.gov.cn）列入失信被执行人、重大税收违法案件当事人名单、政府采购严重失信行为记录名单；</w:t>
      </w:r>
    </w:p>
    <w:p w14:paraId="726E8950">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1.2单位负责人为同一人或者存在直接控股、管理关系的不同供应商（包含法定代表人为同一个人的两个及两个以上法人，母公司、全资子公司及其控股公司），不得参加同一合同项下的政府采购活动。</w:t>
      </w:r>
    </w:p>
    <w:p w14:paraId="0BD2AC55">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2.落实政府采购政策需满足的资格要求：</w:t>
      </w:r>
    </w:p>
    <w:p w14:paraId="3FC4A42E">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2.1 中小企业政策</w:t>
      </w:r>
      <w:r>
        <w:rPr>
          <w:rFonts w:hint="eastAsia"/>
          <w:color w:val="000000" w:themeColor="text1"/>
          <w:sz w:val="24"/>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本项目专门面向中小企业预留采购份额。</w:t>
      </w:r>
    </w:p>
    <w:p w14:paraId="3C0AA6E5">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2.2 </w:t>
      </w:r>
      <w:r>
        <w:rPr>
          <w:rFonts w:hint="eastAsia"/>
          <w:color w:val="000000" w:themeColor="text1"/>
          <w:sz w:val="24"/>
          <w:highlight w:val="none"/>
          <w:lang w:eastAsia="zh-CN"/>
          <w14:textFill>
            <w14:solidFill>
              <w14:schemeClr w14:val="tx1"/>
            </w14:solidFill>
          </w14:textFill>
        </w:rPr>
        <w:t>其他</w:t>
      </w:r>
      <w:r>
        <w:rPr>
          <w:color w:val="000000" w:themeColor="text1"/>
          <w:sz w:val="24"/>
          <w:highlight w:val="none"/>
          <w14:textFill>
            <w14:solidFill>
              <w14:schemeClr w14:val="tx1"/>
            </w14:solidFill>
          </w14:textFill>
        </w:rPr>
        <w:t>落实政府采购政策的资格要求（如有）：</w:t>
      </w:r>
      <w:r>
        <w:rPr>
          <w:rFonts w:hint="eastAsia"/>
          <w:color w:val="000000" w:themeColor="text1"/>
          <w:sz w:val="24"/>
          <w:highlight w:val="none"/>
          <w:u w:val="single"/>
          <w14:textFill>
            <w14:solidFill>
              <w14:schemeClr w14:val="tx1"/>
            </w14:solidFill>
          </w14:textFill>
        </w:rPr>
        <w:t xml:space="preserve">  /  </w:t>
      </w:r>
      <w:r>
        <w:rPr>
          <w:rFonts w:hint="eastAsia"/>
          <w:color w:val="000000" w:themeColor="text1"/>
          <w:sz w:val="24"/>
          <w:highlight w:val="none"/>
          <w14:textFill>
            <w14:solidFill>
              <w14:schemeClr w14:val="tx1"/>
            </w14:solidFill>
          </w14:textFill>
        </w:rPr>
        <w:t>。</w:t>
      </w:r>
    </w:p>
    <w:p w14:paraId="0DDEB415">
      <w:pPr>
        <w:spacing w:line="360" w:lineRule="auto"/>
        <w:ind w:firstLine="480"/>
        <w:rPr>
          <w:i/>
          <w:iCs/>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3.本项目的特定资格要求：</w:t>
      </w:r>
    </w:p>
    <w:p w14:paraId="1F633AF6">
      <w:pPr>
        <w:tabs>
          <w:tab w:val="left" w:pos="900"/>
          <w:tab w:val="left" w:pos="1134"/>
          <w:tab w:val="left" w:pos="1589"/>
          <w:tab w:val="left" w:pos="5521"/>
        </w:tabs>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3.1本项目是否接受分支机构参与响应：</w:t>
      </w:r>
      <w:r>
        <w:rPr>
          <w:rFonts w:hint="eastAsia"/>
          <w:color w:val="000000" w:themeColor="text1"/>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 xml:space="preserve">是   </w:t>
      </w:r>
      <w:r>
        <w:rPr>
          <w:rFonts w:hint="eastAsia"/>
          <w:color w:val="000000" w:themeColor="text1"/>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否；</w:t>
      </w:r>
    </w:p>
    <w:p w14:paraId="5220FCC0">
      <w:pPr>
        <w:tabs>
          <w:tab w:val="left" w:pos="900"/>
          <w:tab w:val="left" w:pos="1134"/>
          <w:tab w:val="left" w:pos="1589"/>
          <w:tab w:val="left" w:pos="5521"/>
        </w:tabs>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3.2 本项目是否属于政府购买服务：</w:t>
      </w:r>
    </w:p>
    <w:p w14:paraId="422E9A76">
      <w:pPr>
        <w:tabs>
          <w:tab w:val="left" w:pos="900"/>
          <w:tab w:val="left" w:pos="1134"/>
          <w:tab w:val="left" w:pos="1589"/>
          <w:tab w:val="left" w:pos="5521"/>
        </w:tabs>
        <w:spacing w:line="360" w:lineRule="auto"/>
        <w:ind w:left="991" w:firstLine="2"/>
        <w:rPr>
          <w:color w:val="000000" w:themeColor="text1"/>
          <w:sz w:val="24"/>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否</w:t>
      </w:r>
    </w:p>
    <w:p w14:paraId="132C6D22">
      <w:pPr>
        <w:tabs>
          <w:tab w:val="left" w:pos="900"/>
          <w:tab w:val="left" w:pos="1134"/>
          <w:tab w:val="left" w:pos="1589"/>
          <w:tab w:val="left" w:pos="5521"/>
        </w:tabs>
        <w:spacing w:line="360" w:lineRule="auto"/>
        <w:ind w:left="991" w:firstLine="2"/>
        <w:rPr>
          <w:color w:val="000000" w:themeColor="text1"/>
          <w:sz w:val="24"/>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是，公益一类事业单位、使用事业编制且由财政拨款保障的群团组织，不得作为承接主体；</w:t>
      </w:r>
    </w:p>
    <w:p w14:paraId="3965691A">
      <w:pPr>
        <w:tabs>
          <w:tab w:val="left" w:pos="900"/>
          <w:tab w:val="left" w:pos="1134"/>
          <w:tab w:val="left" w:pos="1589"/>
          <w:tab w:val="left" w:pos="5521"/>
        </w:tabs>
        <w:spacing w:line="360" w:lineRule="auto"/>
        <w:ind w:firstLine="480"/>
        <w:rPr>
          <w:rFonts w:hint="eastAsia" w:eastAsia="宋体"/>
          <w:color w:val="000000" w:themeColor="text1"/>
          <w:sz w:val="24"/>
          <w:highlight w:val="none"/>
          <w:lang w:val="en-US" w:eastAsia="zh-CN"/>
          <w14:textFill>
            <w14:solidFill>
              <w14:schemeClr w14:val="tx1"/>
            </w14:solidFill>
          </w14:textFill>
        </w:rPr>
      </w:pPr>
      <w:r>
        <w:rPr>
          <w:color w:val="000000" w:themeColor="text1"/>
          <w:sz w:val="24"/>
          <w:highlight w:val="none"/>
          <w14:textFill>
            <w14:solidFill>
              <w14:schemeClr w14:val="tx1"/>
            </w14:solidFill>
          </w14:textFill>
        </w:rPr>
        <w:t>3.3其他特定资格要求：</w:t>
      </w:r>
      <w:r>
        <w:rPr>
          <w:rFonts w:hint="eastAsia"/>
          <w:color w:val="000000" w:themeColor="text1"/>
          <w:sz w:val="24"/>
          <w:highlight w:val="none"/>
          <w:lang w:val="en-US" w:eastAsia="zh-CN"/>
          <w14:textFill>
            <w14:solidFill>
              <w14:schemeClr w14:val="tx1"/>
            </w14:solidFill>
          </w14:textFill>
        </w:rPr>
        <w:t>/</w:t>
      </w:r>
    </w:p>
    <w:bookmarkEnd w:id="10"/>
    <w:bookmarkEnd w:id="11"/>
    <w:p w14:paraId="66829396">
      <w:pPr>
        <w:pStyle w:val="186"/>
        <w:widowControl/>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12" w:name="_Toc35393623"/>
      <w:bookmarkStart w:id="13" w:name="_Toc35393792"/>
      <w:r>
        <w:rPr>
          <w:rFonts w:ascii="Times New Roman" w:hAnsi="Times New Roman" w:eastAsia="宋体"/>
          <w:color w:val="000000" w:themeColor="text1"/>
          <w:sz w:val="24"/>
          <w:szCs w:val="24"/>
          <w:highlight w:val="none"/>
          <w14:textFill>
            <w14:solidFill>
              <w14:schemeClr w14:val="tx1"/>
            </w14:solidFill>
          </w14:textFill>
        </w:rPr>
        <w:t>三、获取采购文件</w:t>
      </w:r>
      <w:bookmarkEnd w:id="12"/>
      <w:bookmarkEnd w:id="13"/>
    </w:p>
    <w:p w14:paraId="1F7C9C2D">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1.时间：</w:t>
      </w:r>
      <w:r>
        <w:rPr>
          <w:rFonts w:hint="eastAsia"/>
          <w:color w:val="000000" w:themeColor="text1"/>
          <w:sz w:val="24"/>
          <w:highlight w:val="none"/>
          <w:lang w:bidi="ar"/>
          <w14:textFill>
            <w14:solidFill>
              <w14:schemeClr w14:val="tx1"/>
            </w14:solidFill>
          </w14:textFill>
        </w:rPr>
        <w:t>自本公告发布之日</w:t>
      </w:r>
      <w:r>
        <w:rPr>
          <w:rFonts w:hint="eastAsia"/>
          <w:color w:val="000000" w:themeColor="text1"/>
          <w:sz w:val="24"/>
          <w:highlight w:val="none"/>
          <w:lang w:val="en-US" w:eastAsia="zh-CN" w:bidi="ar"/>
          <w14:textFill>
            <w14:solidFill>
              <w14:schemeClr w14:val="tx1"/>
            </w14:solidFill>
          </w14:textFill>
        </w:rPr>
        <w:t>起5个工作日</w:t>
      </w:r>
      <w:r>
        <w:rPr>
          <w:color w:val="000000" w:themeColor="text1"/>
          <w:sz w:val="24"/>
          <w:highlight w:val="none"/>
          <w:lang w:bidi="ar"/>
          <w14:textFill>
            <w14:solidFill>
              <w14:schemeClr w14:val="tx1"/>
            </w14:solidFill>
          </w14:textFill>
        </w:rPr>
        <w:t>。</w:t>
      </w:r>
    </w:p>
    <w:p w14:paraId="06D51BC7">
      <w:pPr>
        <w:spacing w:line="360" w:lineRule="auto"/>
        <w:ind w:firstLine="480"/>
        <w:rPr>
          <w:rFonts w:hint="eastAsia" w:eastAsia="宋体"/>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2.地点：</w:t>
      </w:r>
      <w:r>
        <w:rPr>
          <w:rFonts w:hint="eastAsia"/>
          <w:sz w:val="24"/>
          <w:highlight w:val="none"/>
          <w:lang w:val="en-US" w:eastAsia="zh-CN" w:bidi="ar"/>
        </w:rPr>
        <w:t>苏采云政府采购一体化平台（网址：</w:t>
      </w:r>
      <w:r>
        <w:rPr>
          <w:rFonts w:hint="eastAsia"/>
          <w:sz w:val="24"/>
          <w:highlight w:val="none"/>
          <w:lang w:val="en-US" w:eastAsia="zh-CN" w:bidi="ar"/>
        </w:rPr>
        <w:fldChar w:fldCharType="begin"/>
      </w:r>
      <w:r>
        <w:rPr>
          <w:rFonts w:hint="eastAsia"/>
          <w:sz w:val="24"/>
          <w:highlight w:val="none"/>
          <w:lang w:val="en-US" w:eastAsia="zh-CN" w:bidi="ar"/>
        </w:rPr>
        <w:instrText xml:space="preserve"> HYPERLINK "http://jszfcg.jsczt.cn/jszc/login）" </w:instrText>
      </w:r>
      <w:r>
        <w:rPr>
          <w:rFonts w:hint="eastAsia"/>
          <w:sz w:val="24"/>
          <w:highlight w:val="none"/>
          <w:lang w:val="en-US" w:eastAsia="zh-CN" w:bidi="ar"/>
        </w:rPr>
        <w:fldChar w:fldCharType="separate"/>
      </w:r>
      <w:r>
        <w:rPr>
          <w:rStyle w:val="34"/>
          <w:rFonts w:hint="eastAsia"/>
          <w:sz w:val="24"/>
          <w:highlight w:val="none"/>
          <w:lang w:val="en-US" w:eastAsia="zh-CN" w:bidi="ar"/>
        </w:rPr>
        <w:t>http://jszfcg.jsczt.cn/jszc/login）</w:t>
      </w:r>
      <w:r>
        <w:rPr>
          <w:rFonts w:hint="eastAsia"/>
          <w:sz w:val="24"/>
          <w:highlight w:val="none"/>
          <w:lang w:val="en-US" w:eastAsia="zh-CN" w:bidi="ar"/>
        </w:rPr>
        <w:fldChar w:fldCharType="end"/>
      </w:r>
    </w:p>
    <w:p w14:paraId="649C9261">
      <w:pPr>
        <w:widowControl/>
        <w:spacing w:line="360" w:lineRule="auto"/>
        <w:ind w:firstLine="480"/>
        <w:jc w:val="left"/>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3.方式：</w:t>
      </w:r>
      <w:r>
        <w:rPr>
          <w:rFonts w:hint="eastAsia"/>
          <w:sz w:val="24"/>
          <w:highlight w:val="none"/>
          <w:lang w:val="en-US" w:eastAsia="zh-CN" w:bidi="ar"/>
        </w:rPr>
        <w:t>供应商完成注册并办理CA证书后登录苏采云政府采购一体化平台，下载本项目电子版磋商文件。</w:t>
      </w:r>
    </w:p>
    <w:p w14:paraId="167EB63B">
      <w:pPr>
        <w:widowControl/>
        <w:spacing w:line="360" w:lineRule="auto"/>
        <w:ind w:firstLine="480"/>
        <w:jc w:val="left"/>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4.售价：0元。</w:t>
      </w:r>
    </w:p>
    <w:p w14:paraId="3156C377">
      <w:pPr>
        <w:pStyle w:val="186"/>
        <w:widowControl/>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14" w:name="_Toc35393793"/>
      <w:bookmarkStart w:id="15" w:name="_Toc35393624"/>
      <w:bookmarkStart w:id="16" w:name="_Toc28359082"/>
      <w:bookmarkStart w:id="17" w:name="_Toc28359005"/>
      <w:r>
        <w:rPr>
          <w:rFonts w:ascii="Times New Roman" w:hAnsi="Times New Roman" w:eastAsia="宋体"/>
          <w:color w:val="000000" w:themeColor="text1"/>
          <w:sz w:val="24"/>
          <w:szCs w:val="24"/>
          <w:highlight w:val="none"/>
          <w14:textFill>
            <w14:solidFill>
              <w14:schemeClr w14:val="tx1"/>
            </w14:solidFill>
          </w14:textFill>
        </w:rPr>
        <w:t>四、</w:t>
      </w:r>
      <w:bookmarkEnd w:id="14"/>
      <w:bookmarkEnd w:id="15"/>
      <w:bookmarkEnd w:id="16"/>
      <w:bookmarkEnd w:id="17"/>
      <w:r>
        <w:rPr>
          <w:rFonts w:ascii="Times New Roman" w:hAnsi="Times New Roman" w:eastAsia="宋体"/>
          <w:color w:val="000000" w:themeColor="text1"/>
          <w:sz w:val="24"/>
          <w:szCs w:val="24"/>
          <w:highlight w:val="none"/>
          <w14:textFill>
            <w14:solidFill>
              <w14:schemeClr w14:val="tx1"/>
            </w14:solidFill>
          </w14:textFill>
        </w:rPr>
        <w:t>响应文件提交</w:t>
      </w:r>
    </w:p>
    <w:p w14:paraId="6021BA62">
      <w:pPr>
        <w:spacing w:line="360" w:lineRule="auto"/>
        <w:ind w:firstLine="480"/>
        <w:rPr>
          <w:bCs/>
          <w:color w:val="000000" w:themeColor="text1"/>
          <w:sz w:val="24"/>
          <w:highlight w:val="none"/>
          <w:u w:val="single"/>
          <w14:textFill>
            <w14:solidFill>
              <w14:schemeClr w14:val="tx1"/>
            </w14:solidFill>
          </w14:textFill>
        </w:rPr>
      </w:pPr>
      <w:r>
        <w:rPr>
          <w:color w:val="000000" w:themeColor="text1"/>
          <w:sz w:val="24"/>
          <w:highlight w:val="none"/>
          <w:lang w:bidi="ar"/>
          <w14:textFill>
            <w14:solidFill>
              <w14:schemeClr w14:val="tx1"/>
            </w14:solidFill>
          </w14:textFill>
        </w:rPr>
        <w:t>截止时间：</w:t>
      </w:r>
      <w:r>
        <w:rPr>
          <w:rFonts w:hint="eastAsia"/>
          <w:color w:val="000000" w:themeColor="text1"/>
          <w:sz w:val="24"/>
          <w:highlight w:val="none"/>
          <w:u w:val="single"/>
          <w:lang w:val="en-US" w:eastAsia="zh-CN"/>
          <w14:textFill>
            <w14:solidFill>
              <w14:schemeClr w14:val="tx1"/>
            </w14:solidFill>
          </w14:textFill>
        </w:rPr>
        <w:t>2025</w:t>
      </w:r>
      <w:r>
        <w:rPr>
          <w:color w:val="000000" w:themeColor="text1"/>
          <w:sz w:val="24"/>
          <w:highlight w:val="none"/>
          <w:u w:val="single"/>
          <w:lang w:bidi="ar"/>
          <w14:textFill>
            <w14:solidFill>
              <w14:schemeClr w14:val="tx1"/>
            </w14:solidFill>
          </w14:textFill>
        </w:rPr>
        <w:t>年</w:t>
      </w:r>
      <w:r>
        <w:rPr>
          <w:rFonts w:hint="eastAsia"/>
          <w:color w:val="000000" w:themeColor="text1"/>
          <w:sz w:val="24"/>
          <w:highlight w:val="none"/>
          <w:u w:val="single"/>
          <w:lang w:val="en-US" w:eastAsia="zh-CN" w:bidi="ar"/>
          <w14:textFill>
            <w14:solidFill>
              <w14:schemeClr w14:val="tx1"/>
            </w14:solidFill>
          </w14:textFill>
        </w:rPr>
        <w:t>12</w:t>
      </w:r>
      <w:r>
        <w:rPr>
          <w:color w:val="000000" w:themeColor="text1"/>
          <w:sz w:val="24"/>
          <w:highlight w:val="none"/>
          <w:u w:val="single"/>
          <w:lang w:bidi="ar"/>
          <w14:textFill>
            <w14:solidFill>
              <w14:schemeClr w14:val="tx1"/>
            </w14:solidFill>
          </w14:textFill>
        </w:rPr>
        <w:t>月</w:t>
      </w:r>
      <w:r>
        <w:rPr>
          <w:rFonts w:hint="eastAsia"/>
          <w:color w:val="000000" w:themeColor="text1"/>
          <w:sz w:val="24"/>
          <w:highlight w:val="none"/>
          <w:u w:val="single"/>
          <w:lang w:val="en-US" w:eastAsia="zh-CN"/>
          <w14:textFill>
            <w14:solidFill>
              <w14:schemeClr w14:val="tx1"/>
            </w14:solidFill>
          </w14:textFill>
        </w:rPr>
        <w:t>31</w:t>
      </w:r>
      <w:r>
        <w:rPr>
          <w:color w:val="000000" w:themeColor="text1"/>
          <w:sz w:val="24"/>
          <w:highlight w:val="none"/>
          <w:u w:val="single"/>
          <w:lang w:bidi="ar"/>
          <w14:textFill>
            <w14:solidFill>
              <w14:schemeClr w14:val="tx1"/>
            </w14:solidFill>
          </w14:textFill>
        </w:rPr>
        <w:t>日</w:t>
      </w:r>
      <w:r>
        <w:rPr>
          <w:rFonts w:hint="eastAsia"/>
          <w:color w:val="000000" w:themeColor="text1"/>
          <w:sz w:val="24"/>
          <w:highlight w:val="none"/>
          <w:u w:val="single"/>
          <w:lang w:val="en-US" w:eastAsia="zh-CN" w:bidi="ar"/>
          <w14:textFill>
            <w14:solidFill>
              <w14:schemeClr w14:val="tx1"/>
            </w14:solidFill>
          </w14:textFill>
        </w:rPr>
        <w:t>09</w:t>
      </w:r>
      <w:r>
        <w:rPr>
          <w:color w:val="000000" w:themeColor="text1"/>
          <w:sz w:val="24"/>
          <w:highlight w:val="none"/>
          <w:u w:val="single"/>
          <w:lang w:bidi="ar"/>
          <w14:textFill>
            <w14:solidFill>
              <w14:schemeClr w14:val="tx1"/>
            </w14:solidFill>
          </w14:textFill>
        </w:rPr>
        <w:t>点</w:t>
      </w:r>
      <w:r>
        <w:rPr>
          <w:rFonts w:hint="eastAsia"/>
          <w:color w:val="000000" w:themeColor="text1"/>
          <w:sz w:val="24"/>
          <w:highlight w:val="none"/>
          <w:u w:val="single"/>
          <w:lang w:val="en-US" w:eastAsia="zh-CN" w:bidi="ar"/>
          <w14:textFill>
            <w14:solidFill>
              <w14:schemeClr w14:val="tx1"/>
            </w14:solidFill>
          </w14:textFill>
        </w:rPr>
        <w:t>00</w:t>
      </w:r>
      <w:r>
        <w:rPr>
          <w:color w:val="000000" w:themeColor="text1"/>
          <w:sz w:val="24"/>
          <w:highlight w:val="none"/>
          <w:u w:val="single"/>
          <w:lang w:bidi="ar"/>
          <w14:textFill>
            <w14:solidFill>
              <w14:schemeClr w14:val="tx1"/>
            </w14:solidFill>
          </w14:textFill>
        </w:rPr>
        <w:t>分</w:t>
      </w:r>
      <w:r>
        <w:rPr>
          <w:bCs/>
          <w:color w:val="000000" w:themeColor="text1"/>
          <w:sz w:val="24"/>
          <w:highlight w:val="none"/>
          <w:lang w:bidi="ar"/>
          <w14:textFill>
            <w14:solidFill>
              <w14:schemeClr w14:val="tx1"/>
            </w14:solidFill>
          </w14:textFill>
        </w:rPr>
        <w:t>（北京时间）</w:t>
      </w:r>
      <w:r>
        <w:rPr>
          <w:iCs/>
          <w:color w:val="000000" w:themeColor="text1"/>
          <w:sz w:val="24"/>
          <w:highlight w:val="none"/>
          <w:lang w:bidi="ar"/>
          <w14:textFill>
            <w14:solidFill>
              <w14:schemeClr w14:val="tx1"/>
            </w14:solidFill>
          </w14:textFill>
        </w:rPr>
        <w:t>。</w:t>
      </w:r>
    </w:p>
    <w:p w14:paraId="611EF266">
      <w:pPr>
        <w:spacing w:line="360" w:lineRule="auto"/>
        <w:ind w:firstLine="480"/>
        <w:jc w:val="left"/>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地点：</w:t>
      </w:r>
      <w:r>
        <w:rPr>
          <w:rFonts w:hint="eastAsia"/>
          <w:color w:val="000000" w:themeColor="text1"/>
          <w:sz w:val="24"/>
          <w:highlight w:val="none"/>
          <w:lang w:val="en-US" w:eastAsia="zh-CN" w:bidi="ar"/>
          <w14:textFill>
            <w14:solidFill>
              <w14:schemeClr w14:val="tx1"/>
            </w14:solidFill>
          </w14:textFill>
        </w:rPr>
        <w:t>本项目采用远程“不见面”开标方式，无需到现场提交，请供应商在开标时间截止前提前登入苏采云政府采购一体化平台（网址：http://jszfcg.jsczt.cn/jszc/login）提交电子版</w:t>
      </w:r>
      <w:r>
        <w:rPr>
          <w:color w:val="000000" w:themeColor="text1"/>
          <w:sz w:val="24"/>
          <w:highlight w:val="none"/>
          <w:lang w:bidi="ar"/>
          <w14:textFill>
            <w14:solidFill>
              <w14:schemeClr w14:val="tx1"/>
            </w14:solidFill>
          </w14:textFill>
        </w:rPr>
        <w:t>响应文件。</w:t>
      </w:r>
    </w:p>
    <w:p w14:paraId="6C8C688A">
      <w:pPr>
        <w:pStyle w:val="186"/>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五、开启</w:t>
      </w:r>
    </w:p>
    <w:p w14:paraId="6B3C1268">
      <w:pPr>
        <w:spacing w:line="360" w:lineRule="auto"/>
        <w:ind w:firstLine="480"/>
        <w:rPr>
          <w:bCs/>
          <w:color w:val="000000" w:themeColor="text1"/>
          <w:sz w:val="24"/>
          <w:highlight w:val="none"/>
          <w:u w:val="single"/>
          <w14:textFill>
            <w14:solidFill>
              <w14:schemeClr w14:val="tx1"/>
            </w14:solidFill>
          </w14:textFill>
        </w:rPr>
      </w:pPr>
      <w:r>
        <w:rPr>
          <w:color w:val="000000" w:themeColor="text1"/>
          <w:sz w:val="24"/>
          <w:highlight w:val="none"/>
          <w:lang w:bidi="ar"/>
          <w14:textFill>
            <w14:solidFill>
              <w14:schemeClr w14:val="tx1"/>
            </w14:solidFill>
          </w14:textFill>
        </w:rPr>
        <w:t>时间：</w:t>
      </w:r>
      <w:r>
        <w:rPr>
          <w:rFonts w:hint="eastAsia"/>
          <w:color w:val="000000" w:themeColor="text1"/>
          <w:sz w:val="24"/>
          <w:highlight w:val="none"/>
          <w:u w:val="single"/>
          <w:lang w:val="en-US" w:eastAsia="zh-CN"/>
          <w14:textFill>
            <w14:solidFill>
              <w14:schemeClr w14:val="tx1"/>
            </w14:solidFill>
          </w14:textFill>
        </w:rPr>
        <w:t>2025年12月31日09点00分</w:t>
      </w:r>
      <w:r>
        <w:rPr>
          <w:bCs/>
          <w:color w:val="000000" w:themeColor="text1"/>
          <w:sz w:val="24"/>
          <w:highlight w:val="none"/>
          <w:lang w:bidi="ar"/>
          <w14:textFill>
            <w14:solidFill>
              <w14:schemeClr w14:val="tx1"/>
            </w14:solidFill>
          </w14:textFill>
        </w:rPr>
        <w:t>（北京时间）</w:t>
      </w:r>
      <w:r>
        <w:rPr>
          <w:iCs/>
          <w:color w:val="000000" w:themeColor="text1"/>
          <w:sz w:val="24"/>
          <w:highlight w:val="none"/>
          <w:lang w:bidi="ar"/>
          <w14:textFill>
            <w14:solidFill>
              <w14:schemeClr w14:val="tx1"/>
            </w14:solidFill>
          </w14:textFill>
        </w:rPr>
        <w:t>。</w:t>
      </w:r>
    </w:p>
    <w:p w14:paraId="62097168">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地点：</w:t>
      </w:r>
      <w:r>
        <w:rPr>
          <w:rFonts w:hint="eastAsia" w:ascii="宋体" w:hAnsi="宋体"/>
          <w:color w:val="000000" w:themeColor="text1"/>
          <w:sz w:val="24"/>
          <w:highlight w:val="none"/>
          <w:u w:val="single"/>
          <w14:textFill>
            <w14:solidFill>
              <w14:schemeClr w14:val="tx1"/>
            </w14:solidFill>
          </w14:textFill>
        </w:rPr>
        <w:t>本项目采用不见面交易方式，无需到现场提交，供应商登录</w:t>
      </w:r>
      <w:r>
        <w:rPr>
          <w:rFonts w:hint="eastAsia" w:ascii="宋体" w:hAnsi="宋体"/>
          <w:color w:val="000000" w:themeColor="text1"/>
          <w:sz w:val="24"/>
          <w:highlight w:val="none"/>
          <w:u w:val="single"/>
          <w:lang w:eastAsia="zh-CN"/>
          <w14:textFill>
            <w14:solidFill>
              <w14:schemeClr w14:val="tx1"/>
            </w14:solidFill>
          </w14:textFill>
        </w:rPr>
        <w:t>“苏采云”政府采购一体化平台</w:t>
      </w:r>
      <w:r>
        <w:rPr>
          <w:rFonts w:hint="eastAsia" w:ascii="宋体" w:hAnsi="宋体"/>
          <w:color w:val="000000" w:themeColor="text1"/>
          <w:sz w:val="24"/>
          <w:highlight w:val="none"/>
          <w:u w:val="single"/>
          <w14:textFill>
            <w14:solidFill>
              <w14:schemeClr w14:val="tx1"/>
            </w14:solidFill>
          </w14:textFill>
        </w:rPr>
        <w:t>供应商端，通过系统在线提交电子响应文件。</w:t>
      </w:r>
    </w:p>
    <w:p w14:paraId="0016C314">
      <w:pPr>
        <w:pStyle w:val="186"/>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18" w:name="_Toc35393625"/>
      <w:bookmarkStart w:id="19" w:name="_Toc28359084"/>
      <w:bookmarkStart w:id="20" w:name="_Toc35393794"/>
      <w:bookmarkStart w:id="21" w:name="_Toc28359007"/>
      <w:r>
        <w:rPr>
          <w:rFonts w:ascii="Times New Roman" w:hAnsi="Times New Roman" w:eastAsia="宋体"/>
          <w:color w:val="000000" w:themeColor="text1"/>
          <w:sz w:val="24"/>
          <w:szCs w:val="24"/>
          <w:highlight w:val="none"/>
          <w14:textFill>
            <w14:solidFill>
              <w14:schemeClr w14:val="tx1"/>
            </w14:solidFill>
          </w14:textFill>
        </w:rPr>
        <w:t>六、公告期限</w:t>
      </w:r>
      <w:bookmarkEnd w:id="18"/>
      <w:bookmarkEnd w:id="19"/>
      <w:bookmarkEnd w:id="20"/>
      <w:bookmarkEnd w:id="21"/>
    </w:p>
    <w:p w14:paraId="687DFB6D">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自本公告发布之日起</w:t>
      </w:r>
      <w:r>
        <w:rPr>
          <w:rFonts w:hint="eastAsia"/>
          <w:color w:val="000000" w:themeColor="text1"/>
          <w:sz w:val="24"/>
          <w:highlight w:val="none"/>
          <w14:textFill>
            <w14:solidFill>
              <w14:schemeClr w14:val="tx1"/>
            </w14:solidFill>
          </w14:textFill>
        </w:rPr>
        <w:t>5</w:t>
      </w:r>
      <w:r>
        <w:rPr>
          <w:color w:val="000000" w:themeColor="text1"/>
          <w:sz w:val="24"/>
          <w:highlight w:val="none"/>
          <w14:textFill>
            <w14:solidFill>
              <w14:schemeClr w14:val="tx1"/>
            </w14:solidFill>
          </w14:textFill>
        </w:rPr>
        <w:t>个工作日。</w:t>
      </w:r>
    </w:p>
    <w:p w14:paraId="7B3D5858">
      <w:pPr>
        <w:pStyle w:val="186"/>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22" w:name="_Toc35393626"/>
      <w:bookmarkStart w:id="23" w:name="_Toc35393795"/>
      <w:r>
        <w:rPr>
          <w:rFonts w:ascii="Times New Roman" w:hAnsi="Times New Roman" w:eastAsia="宋体"/>
          <w:color w:val="000000" w:themeColor="text1"/>
          <w:sz w:val="24"/>
          <w:szCs w:val="24"/>
          <w:highlight w:val="none"/>
          <w14:textFill>
            <w14:solidFill>
              <w14:schemeClr w14:val="tx1"/>
            </w14:solidFill>
          </w14:textFill>
        </w:rPr>
        <w:t>七、其他补充事宜</w:t>
      </w:r>
      <w:bookmarkEnd w:id="22"/>
      <w:bookmarkEnd w:id="23"/>
    </w:p>
    <w:p w14:paraId="3E7ED3C1">
      <w:pPr>
        <w:spacing w:line="360" w:lineRule="auto"/>
        <w:ind w:firstLine="480"/>
        <w:rPr>
          <w:color w:val="000000" w:themeColor="text1"/>
          <w:sz w:val="24"/>
          <w:highlight w:val="none"/>
          <w:lang w:bidi="ar"/>
          <w14:textFill>
            <w14:solidFill>
              <w14:schemeClr w14:val="tx1"/>
            </w14:solidFill>
          </w14:textFill>
        </w:rPr>
      </w:pPr>
      <w:bookmarkStart w:id="24" w:name="_Toc35393796"/>
      <w:bookmarkStart w:id="25" w:name="_Toc28359008"/>
      <w:bookmarkStart w:id="26" w:name="_Toc28359085"/>
      <w:bookmarkStart w:id="27" w:name="_Toc35393627"/>
      <w:r>
        <w:rPr>
          <w:rFonts w:hint="eastAsia" w:ascii="Times New Roman" w:hAnsi="Times New Roman"/>
          <w:color w:val="000000" w:themeColor="text1"/>
          <w:sz w:val="24"/>
          <w:szCs w:val="24"/>
          <w:highlight w:val="none"/>
          <w:lang w:val="en-US" w:eastAsia="zh-CN" w:bidi="ar"/>
          <w14:textFill>
            <w14:solidFill>
              <w14:schemeClr w14:val="tx1"/>
            </w14:solidFill>
          </w14:textFill>
        </w:rPr>
        <w:t>1</w:t>
      </w:r>
      <w:r>
        <w:rPr>
          <w:rFonts w:hint="eastAsia"/>
          <w:color w:val="000000" w:themeColor="text1"/>
          <w:sz w:val="24"/>
          <w:highlight w:val="none"/>
          <w:lang w:bidi="ar"/>
          <w14:textFill>
            <w14:solidFill>
              <w14:schemeClr w14:val="tx1"/>
            </w14:solidFill>
          </w14:textFill>
        </w:rPr>
        <w:t>．</w:t>
      </w:r>
      <w:r>
        <w:rPr>
          <w:rFonts w:hint="eastAsia" w:ascii="Times New Roman" w:hAnsi="Times New Roman"/>
          <w:color w:val="000000" w:themeColor="text1"/>
          <w:sz w:val="24"/>
          <w:szCs w:val="24"/>
          <w:highlight w:val="none"/>
          <w:lang w:bidi="ar"/>
          <w14:textFill>
            <w14:solidFill>
              <w14:schemeClr w14:val="tx1"/>
            </w14:solidFill>
          </w14:textFill>
        </w:rPr>
        <w:t>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w:t>
      </w:r>
    </w:p>
    <w:p w14:paraId="1B943C6C">
      <w:pPr>
        <w:spacing w:line="360" w:lineRule="auto"/>
        <w:ind w:firstLine="480"/>
        <w:rPr>
          <w:color w:val="000000" w:themeColor="text1"/>
          <w:sz w:val="24"/>
          <w:highlight w:val="none"/>
          <w:lang w:bidi="ar"/>
          <w14:textFill>
            <w14:solidFill>
              <w14:schemeClr w14:val="tx1"/>
            </w14:solidFill>
          </w14:textFill>
        </w:rPr>
      </w:pPr>
      <w:r>
        <w:rPr>
          <w:rFonts w:hint="eastAsia" w:ascii="Times New Roman" w:hAnsi="Times New Roman"/>
          <w:color w:val="000000" w:themeColor="text1"/>
          <w:sz w:val="24"/>
          <w:szCs w:val="24"/>
          <w:highlight w:val="none"/>
          <w:lang w:val="en-US" w:eastAsia="zh-CN" w:bidi="ar"/>
          <w14:textFill>
            <w14:solidFill>
              <w14:schemeClr w14:val="tx1"/>
            </w14:solidFill>
          </w14:textFill>
        </w:rPr>
        <w:t>2</w:t>
      </w:r>
      <w:r>
        <w:rPr>
          <w:rFonts w:hint="eastAsia"/>
          <w:color w:val="000000" w:themeColor="text1"/>
          <w:sz w:val="24"/>
          <w:highlight w:val="none"/>
          <w:lang w:bidi="ar"/>
          <w14:textFill>
            <w14:solidFill>
              <w14:schemeClr w14:val="tx1"/>
            </w14:solidFill>
          </w14:textFill>
        </w:rPr>
        <w:t>．</w:t>
      </w:r>
      <w:r>
        <w:rPr>
          <w:rFonts w:hint="eastAsia" w:ascii="Times New Roman" w:hAnsi="Times New Roman"/>
          <w:color w:val="000000" w:themeColor="text1"/>
          <w:sz w:val="24"/>
          <w:szCs w:val="24"/>
          <w:highlight w:val="none"/>
          <w:lang w:bidi="ar"/>
          <w14:textFill>
            <w14:solidFill>
              <w14:schemeClr w14:val="tx1"/>
            </w14:solidFill>
          </w14:textFill>
        </w:rPr>
        <w:t>采购文件获取注意事项：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53D44A09">
      <w:pPr>
        <w:spacing w:line="360" w:lineRule="auto"/>
        <w:ind w:firstLine="480"/>
        <w:rPr>
          <w:rFonts w:hint="eastAsia" w:ascii="Times New Roman" w:hAnsi="Times New Roman"/>
          <w:color w:val="000000" w:themeColor="text1"/>
          <w:sz w:val="24"/>
          <w:szCs w:val="24"/>
          <w:highlight w:val="none"/>
          <w:lang w:bidi="ar"/>
          <w14:textFill>
            <w14:solidFill>
              <w14:schemeClr w14:val="tx1"/>
            </w14:solidFill>
          </w14:textFill>
        </w:rPr>
      </w:pPr>
      <w:r>
        <w:rPr>
          <w:rFonts w:hint="eastAsia" w:ascii="Times New Roman" w:hAnsi="Times New Roman"/>
          <w:color w:val="000000" w:themeColor="text1"/>
          <w:sz w:val="24"/>
          <w:szCs w:val="24"/>
          <w:highlight w:val="none"/>
          <w:lang w:val="en-US" w:eastAsia="zh-CN" w:bidi="ar"/>
          <w14:textFill>
            <w14:solidFill>
              <w14:schemeClr w14:val="tx1"/>
            </w14:solidFill>
          </w14:textFill>
        </w:rPr>
        <w:t>3</w:t>
      </w:r>
      <w:r>
        <w:rPr>
          <w:rFonts w:hint="eastAsia"/>
          <w:color w:val="000000" w:themeColor="text1"/>
          <w:sz w:val="24"/>
          <w:highlight w:val="none"/>
          <w:lang w:bidi="ar"/>
          <w14:textFill>
            <w14:solidFill>
              <w14:schemeClr w14:val="tx1"/>
            </w14:solidFill>
          </w14:textFill>
        </w:rPr>
        <w:t>．</w:t>
      </w:r>
      <w:r>
        <w:rPr>
          <w:rFonts w:hint="eastAsia" w:ascii="Times New Roman" w:hAnsi="Times New Roman"/>
          <w:color w:val="000000" w:themeColor="text1"/>
          <w:sz w:val="24"/>
          <w:szCs w:val="24"/>
          <w:highlight w:val="none"/>
          <w:lang w:bidi="ar"/>
          <w14:textFill>
            <w14:solidFill>
              <w14:schemeClr w14:val="tx1"/>
            </w14:solidFill>
          </w14:textFill>
        </w:rPr>
        <w:t>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6DD92350">
      <w:pPr>
        <w:spacing w:line="360" w:lineRule="auto"/>
        <w:ind w:firstLine="480"/>
        <w:rPr>
          <w:rFonts w:hint="eastAsia" w:ascii="Times New Roman" w:hAnsi="Times New Roman"/>
          <w:color w:val="000000" w:themeColor="text1"/>
          <w:sz w:val="24"/>
          <w:szCs w:val="24"/>
          <w:highlight w:val="none"/>
          <w:lang w:bidi="ar"/>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bidi="ar"/>
          <w14:textFill>
            <w14:solidFill>
              <w14:schemeClr w14:val="tx1"/>
            </w14:solidFill>
          </w14:textFill>
        </w:rPr>
        <w:t>4.关于江苏省政府采购履约验收管理办法：根据《关于印发江苏省政府采购履约验收管理办法的通知》（苏财规[2024]7号）</w:t>
      </w:r>
      <w:r>
        <w:rPr>
          <w:rFonts w:hint="eastAsia" w:ascii="Times New Roman" w:hAnsi="Times New Roman" w:eastAsia="宋体" w:cs="Times New Roman"/>
          <w:color w:val="000000" w:themeColor="text1"/>
          <w:sz w:val="24"/>
          <w:szCs w:val="24"/>
          <w:highlight w:val="none"/>
          <w:lang w:bidi="ar"/>
          <w14:textFill>
            <w14:solidFill>
              <w14:schemeClr w14:val="tx1"/>
            </w14:solidFill>
          </w14:textFill>
        </w:rPr>
        <w:t>等有关文件精神</w:t>
      </w:r>
      <w:r>
        <w:rPr>
          <w:rFonts w:hint="eastAsia" w:ascii="Times New Roman" w:hAnsi="Times New Roman" w:eastAsia="宋体" w:cs="Times New Roman"/>
          <w:color w:val="000000" w:themeColor="text1"/>
          <w:sz w:val="24"/>
          <w:szCs w:val="24"/>
          <w:highlight w:val="none"/>
          <w:lang w:eastAsia="zh-CN" w:bidi="ar"/>
          <w14:textFill>
            <w14:solidFill>
              <w14:schemeClr w14:val="tx1"/>
            </w14:solidFill>
          </w14:textFill>
        </w:rPr>
        <w:t>执行。</w:t>
      </w:r>
    </w:p>
    <w:p w14:paraId="7690C5E3">
      <w:pPr>
        <w:pStyle w:val="186"/>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八、对本项目提出询问，请按以下方式联系。</w:t>
      </w:r>
      <w:bookmarkEnd w:id="24"/>
      <w:bookmarkEnd w:id="25"/>
      <w:bookmarkEnd w:id="26"/>
      <w:bookmarkEnd w:id="27"/>
    </w:p>
    <w:p w14:paraId="10A1AF65">
      <w:pPr>
        <w:widowControl/>
        <w:spacing w:line="360" w:lineRule="auto"/>
        <w:jc w:val="left"/>
        <w:rPr>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w:t>
      </w:r>
      <w:r>
        <w:rPr>
          <w:b/>
          <w:color w:val="000000" w:themeColor="text1"/>
          <w:sz w:val="24"/>
          <w:highlight w:val="none"/>
          <w14:textFill>
            <w14:solidFill>
              <w14:schemeClr w14:val="tx1"/>
            </w14:solidFill>
          </w14:textFill>
        </w:rPr>
        <w:t>1.采购人信息</w:t>
      </w:r>
    </w:p>
    <w:p w14:paraId="3C7A7BD0">
      <w:pPr>
        <w:spacing w:line="360" w:lineRule="auto"/>
        <w:ind w:left="1079" w:hanging="300"/>
        <w:jc w:val="left"/>
        <w:rPr>
          <w:rFonts w:hint="eastAsia" w:cs="Times New Roman"/>
          <w:sz w:val="24"/>
          <w:highlight w:val="none"/>
          <w:u w:val="single"/>
          <w:lang w:val="en-US" w:eastAsia="zh-CN"/>
        </w:rPr>
      </w:pPr>
      <w:bookmarkStart w:id="28" w:name="_Toc28359086"/>
      <w:bookmarkStart w:id="29" w:name="_Toc28359009"/>
      <w:r>
        <w:rPr>
          <w:rFonts w:ascii="Times New Roman" w:hAnsi="Times New Roman" w:eastAsia="宋体" w:cs="Times New Roman"/>
          <w:sz w:val="24"/>
          <w:highlight w:val="none"/>
        </w:rPr>
        <w:t>名    称：</w:t>
      </w:r>
      <w:r>
        <w:rPr>
          <w:rFonts w:hint="eastAsia" w:cs="Times New Roman"/>
          <w:sz w:val="24"/>
          <w:highlight w:val="none"/>
          <w:u w:val="single"/>
          <w:lang w:val="en-US" w:eastAsia="zh-CN"/>
        </w:rPr>
        <w:t>常州市金坛区朱林镇人民政府</w:t>
      </w:r>
    </w:p>
    <w:p w14:paraId="02DA6A8B">
      <w:pPr>
        <w:spacing w:line="360" w:lineRule="auto"/>
        <w:ind w:left="1079" w:hanging="300"/>
        <w:jc w:val="left"/>
        <w:rPr>
          <w:rFonts w:hint="default" w:ascii="Times New Roman" w:hAnsi="Times New Roman" w:eastAsia="宋体" w:cs="Times New Roman"/>
          <w:sz w:val="24"/>
          <w:highlight w:val="none"/>
          <w:lang w:val="en-US" w:eastAsia="zh-CN"/>
        </w:rPr>
      </w:pPr>
      <w:r>
        <w:rPr>
          <w:rFonts w:ascii="Times New Roman" w:hAnsi="Times New Roman" w:eastAsia="宋体" w:cs="Times New Roman"/>
          <w:sz w:val="24"/>
          <w:highlight w:val="none"/>
        </w:rPr>
        <w:t>地    址：</w:t>
      </w:r>
      <w:r>
        <w:rPr>
          <w:rFonts w:hint="eastAsia" w:ascii="Times New Roman" w:hAnsi="Times New Roman" w:eastAsia="宋体" w:cs="Times New Roman"/>
          <w:sz w:val="24"/>
          <w:highlight w:val="none"/>
          <w:u w:val="single"/>
          <w:lang w:val="en-US" w:eastAsia="zh-CN"/>
        </w:rPr>
        <w:t xml:space="preserve"> 常州市金坛区</w:t>
      </w:r>
      <w:r>
        <w:rPr>
          <w:rFonts w:hint="eastAsia" w:cs="Times New Roman"/>
          <w:sz w:val="24"/>
          <w:highlight w:val="none"/>
          <w:u w:val="single"/>
          <w:lang w:val="en-US" w:eastAsia="zh-CN"/>
        </w:rPr>
        <w:t>朱林镇</w:t>
      </w:r>
    </w:p>
    <w:p w14:paraId="6346E970">
      <w:pPr>
        <w:spacing w:line="360" w:lineRule="auto"/>
        <w:ind w:left="1079" w:hanging="300"/>
        <w:jc w:val="left"/>
        <w:rPr>
          <w:rFonts w:hint="default" w:ascii="Times New Roman" w:hAnsi="Times New Roman" w:eastAsia="宋体" w:cs="Times New Roman"/>
          <w:sz w:val="24"/>
          <w:highlight w:val="none"/>
          <w:u w:val="single"/>
          <w:lang w:val="en-US" w:eastAsia="zh-CN"/>
        </w:rPr>
      </w:pPr>
      <w:r>
        <w:rPr>
          <w:rFonts w:ascii="Times New Roman" w:hAnsi="Times New Roman" w:eastAsia="宋体" w:cs="Times New Roman"/>
          <w:sz w:val="24"/>
          <w:highlight w:val="none"/>
        </w:rPr>
        <w:t>联系方式：</w:t>
      </w:r>
      <w:r>
        <w:rPr>
          <w:rFonts w:hint="eastAsia" w:ascii="宋体" w:hAnsi="宋体" w:eastAsia="宋体" w:cs="宋体"/>
          <w:sz w:val="24"/>
          <w:szCs w:val="24"/>
          <w:highlight w:val="none"/>
          <w:u w:val="single"/>
          <w:lang w:val="en-US" w:eastAsia="zh-CN"/>
        </w:rPr>
        <w:t>0519-82629017</w:t>
      </w:r>
    </w:p>
    <w:p w14:paraId="0D706CA6">
      <w:pPr>
        <w:spacing w:line="360" w:lineRule="auto"/>
        <w:ind w:left="1078" w:hanging="299"/>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2.采购代理机构信息</w:t>
      </w:r>
      <w:bookmarkEnd w:id="28"/>
      <w:bookmarkEnd w:id="29"/>
    </w:p>
    <w:p w14:paraId="3496DC91">
      <w:pPr>
        <w:spacing w:line="360" w:lineRule="auto"/>
        <w:ind w:left="1076" w:hanging="297"/>
        <w:jc w:val="left"/>
        <w:rPr>
          <w:color w:val="000000" w:themeColor="text1"/>
          <w:sz w:val="24"/>
          <w:highlight w:val="none"/>
          <w14:textFill>
            <w14:solidFill>
              <w14:schemeClr w14:val="tx1"/>
            </w14:solidFill>
          </w14:textFill>
        </w:rPr>
      </w:pPr>
      <w:bookmarkStart w:id="30" w:name="_Toc28359010"/>
      <w:bookmarkStart w:id="31" w:name="_Toc28359087"/>
      <w:r>
        <w:rPr>
          <w:color w:val="000000" w:themeColor="text1"/>
          <w:sz w:val="24"/>
          <w:highlight w:val="none"/>
          <w14:textFill>
            <w14:solidFill>
              <w14:schemeClr w14:val="tx1"/>
            </w14:solidFill>
          </w14:textFill>
        </w:rPr>
        <w:t>名    称：</w:t>
      </w:r>
      <w:r>
        <w:rPr>
          <w:rFonts w:hint="eastAsia" w:cs="Times New Roman"/>
          <w:color w:val="000000" w:themeColor="text1"/>
          <w:sz w:val="24"/>
          <w:highlight w:val="none"/>
          <w:u w:val="single"/>
          <w:lang w:eastAsia="zh-CN"/>
          <w14:textFill>
            <w14:solidFill>
              <w14:schemeClr w14:val="tx1"/>
            </w14:solidFill>
          </w14:textFill>
        </w:rPr>
        <w:t>江苏华溯工程项目管理有限公司</w:t>
      </w:r>
    </w:p>
    <w:p w14:paraId="7B1A3D37">
      <w:pPr>
        <w:spacing w:line="360" w:lineRule="auto"/>
        <w:ind w:left="1076" w:hanging="297"/>
        <w:jc w:val="left"/>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地    址：</w:t>
      </w:r>
      <w:r>
        <w:rPr>
          <w:rFonts w:hint="eastAsia"/>
          <w:color w:val="000000" w:themeColor="text1"/>
          <w:sz w:val="24"/>
          <w:highlight w:val="none"/>
          <w:u w:val="single"/>
          <w:lang w:eastAsia="zh-CN"/>
          <w14:textFill>
            <w14:solidFill>
              <w14:schemeClr w14:val="tx1"/>
            </w14:solidFill>
          </w14:textFill>
        </w:rPr>
        <w:t>常州市金坛区金胜东路19号</w:t>
      </w:r>
    </w:p>
    <w:p w14:paraId="0303656C">
      <w:pPr>
        <w:spacing w:line="360" w:lineRule="auto"/>
        <w:ind w:left="1076" w:hanging="297"/>
        <w:jc w:val="left"/>
        <w:rPr>
          <w:rFonts w:hint="eastAsia" w:eastAsia="宋体"/>
          <w:color w:val="000000" w:themeColor="text1"/>
          <w:sz w:val="24"/>
          <w:highlight w:val="none"/>
          <w:u w:val="single"/>
          <w:lang w:eastAsia="zh-CN"/>
          <w14:textFill>
            <w14:solidFill>
              <w14:schemeClr w14:val="tx1"/>
            </w14:solidFill>
          </w14:textFill>
        </w:rPr>
      </w:pPr>
      <w:r>
        <w:rPr>
          <w:color w:val="000000" w:themeColor="text1"/>
          <w:sz w:val="24"/>
          <w:highlight w:val="none"/>
          <w14:textFill>
            <w14:solidFill>
              <w14:schemeClr w14:val="tx1"/>
            </w14:solidFill>
          </w14:textFill>
        </w:rPr>
        <w:t>联系方式：</w:t>
      </w:r>
      <w:r>
        <w:rPr>
          <w:rFonts w:hint="eastAsia"/>
          <w:color w:val="000000" w:themeColor="text1"/>
          <w:sz w:val="24"/>
          <w:highlight w:val="none"/>
          <w:u w:val="single"/>
          <w:lang w:eastAsia="zh-CN"/>
          <w14:textFill>
            <w14:solidFill>
              <w14:schemeClr w14:val="tx1"/>
            </w14:solidFill>
          </w14:textFill>
        </w:rPr>
        <w:t>0519-82807908</w:t>
      </w:r>
    </w:p>
    <w:p w14:paraId="222BDC13">
      <w:pPr>
        <w:spacing w:line="360" w:lineRule="auto"/>
        <w:ind w:left="1078" w:hanging="299"/>
        <w:rPr>
          <w:b/>
          <w:color w:val="000000" w:themeColor="text1"/>
          <w:sz w:val="24"/>
          <w:highlight w:val="none"/>
          <w:u w:val="single"/>
          <w14:textFill>
            <w14:solidFill>
              <w14:schemeClr w14:val="tx1"/>
            </w14:solidFill>
          </w14:textFill>
        </w:rPr>
      </w:pPr>
      <w:r>
        <w:rPr>
          <w:b/>
          <w:color w:val="000000" w:themeColor="text1"/>
          <w:sz w:val="24"/>
          <w:highlight w:val="none"/>
          <w14:textFill>
            <w14:solidFill>
              <w14:schemeClr w14:val="tx1"/>
            </w14:solidFill>
          </w14:textFill>
        </w:rPr>
        <w:t>3.项目联系方式</w:t>
      </w:r>
      <w:bookmarkEnd w:id="30"/>
      <w:bookmarkEnd w:id="31"/>
    </w:p>
    <w:p w14:paraId="7BBD5FB1">
      <w:pPr>
        <w:pStyle w:val="223"/>
        <w:spacing w:line="360" w:lineRule="auto"/>
        <w:ind w:left="1076" w:hanging="297"/>
        <w:rPr>
          <w:rFonts w:ascii="Times New Roman" w:hAnsi="Times New Roman"/>
          <w:color w:val="000000" w:themeColor="text1"/>
          <w:sz w:val="24"/>
          <w:highlight w:val="none"/>
          <w:u w:val="singl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项目联系人：</w:t>
      </w:r>
      <w:r>
        <w:rPr>
          <w:rFonts w:hint="eastAsia" w:ascii="Times New Roman" w:hAnsi="Times New Roman"/>
          <w:color w:val="000000" w:themeColor="text1"/>
          <w:sz w:val="24"/>
          <w:szCs w:val="24"/>
          <w:highlight w:val="none"/>
          <w:u w:val="single"/>
          <w:lang w:eastAsia="zh-CN"/>
          <w14:textFill>
            <w14:solidFill>
              <w14:schemeClr w14:val="tx1"/>
            </w14:solidFill>
          </w14:textFill>
        </w:rPr>
        <w:t>刘女士</w:t>
      </w:r>
    </w:p>
    <w:p w14:paraId="452CC431">
      <w:pPr>
        <w:pStyle w:val="223"/>
        <w:spacing w:line="360" w:lineRule="auto"/>
        <w:ind w:left="1076" w:hanging="297"/>
        <w:jc w:val="both"/>
        <w:rPr>
          <w:rFonts w:hint="eastAsia"/>
          <w:color w:val="000000" w:themeColor="text1"/>
          <w:sz w:val="24"/>
          <w:highlight w:val="none"/>
          <w:u w:val="single"/>
          <w:lang w:eastAsia="zh-CN"/>
          <w14:textFill>
            <w14:solidFill>
              <w14:schemeClr w14:val="tx1"/>
            </w14:solidFill>
          </w14:textFill>
        </w:rPr>
      </w:pPr>
      <w:r>
        <w:rPr>
          <w:rFonts w:ascii="Times New Roman" w:hAnsi="Times New Roman"/>
          <w:color w:val="000000" w:themeColor="text1"/>
          <w:sz w:val="24"/>
          <w:highlight w:val="none"/>
          <w14:textFill>
            <w14:solidFill>
              <w14:schemeClr w14:val="tx1"/>
            </w14:solidFill>
          </w14:textFill>
        </w:rPr>
        <w:t>电      话：</w:t>
      </w:r>
      <w:r>
        <w:rPr>
          <w:rFonts w:hint="eastAsia"/>
          <w:color w:val="000000" w:themeColor="text1"/>
          <w:sz w:val="24"/>
          <w:highlight w:val="none"/>
          <w:u w:val="single"/>
          <w:lang w:eastAsia="zh-CN"/>
          <w14:textFill>
            <w14:solidFill>
              <w14:schemeClr w14:val="tx1"/>
            </w14:solidFill>
          </w14:textFill>
        </w:rPr>
        <w:t>0519-82807908</w:t>
      </w:r>
      <w:bookmarkStart w:id="32" w:name="_Toc265228423"/>
      <w:bookmarkStart w:id="33" w:name="_Toc353825548"/>
      <w:bookmarkStart w:id="34" w:name="_Toc150774783"/>
      <w:bookmarkStart w:id="35" w:name="_Toc127151777"/>
      <w:bookmarkStart w:id="36" w:name="_Toc226965856"/>
      <w:bookmarkStart w:id="37" w:name="_Toc264969275"/>
      <w:bookmarkStart w:id="38" w:name="_Toc512937850"/>
      <w:bookmarkStart w:id="39" w:name="_Toc305158928"/>
      <w:bookmarkStart w:id="40" w:name="_Toc127161488"/>
      <w:bookmarkStart w:id="41" w:name="_Toc353873938"/>
      <w:bookmarkStart w:id="42" w:name="_Toc104818926"/>
      <w:bookmarkStart w:id="43" w:name="_Toc195842950"/>
      <w:bookmarkStart w:id="44" w:name="_Toc305158854"/>
    </w:p>
    <w:p w14:paraId="50230120">
      <w:pP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br w:type="page"/>
      </w:r>
    </w:p>
    <w:p w14:paraId="14E5AF07">
      <w:pPr>
        <w:pStyle w:val="223"/>
        <w:spacing w:line="360" w:lineRule="auto"/>
        <w:ind w:left="1048" w:firstLine="2367"/>
        <w:jc w:val="both"/>
        <w:rPr>
          <w:b/>
          <w:color w:val="000000" w:themeColor="text1"/>
          <w:sz w:val="32"/>
          <w:szCs w:val="32"/>
          <w:highlight w:val="none"/>
          <w14:textFill>
            <w14:solidFill>
              <w14:schemeClr w14:val="tx1"/>
            </w14:solidFill>
          </w14:textFill>
        </w:rPr>
      </w:pPr>
      <w:r>
        <w:rPr>
          <w:b/>
          <w:color w:val="000000" w:themeColor="text1"/>
          <w:sz w:val="36"/>
          <w:szCs w:val="36"/>
          <w:highlight w:val="none"/>
          <w14:textFill>
            <w14:solidFill>
              <w14:schemeClr w14:val="tx1"/>
            </w14:solidFill>
          </w14:textFill>
        </w:rPr>
        <w:t>第二章   供应商须知</w:t>
      </w:r>
      <w:bookmarkEnd w:id="32"/>
      <w:bookmarkEnd w:id="33"/>
      <w:bookmarkEnd w:id="34"/>
      <w:bookmarkEnd w:id="35"/>
      <w:bookmarkEnd w:id="36"/>
      <w:bookmarkEnd w:id="37"/>
      <w:bookmarkEnd w:id="38"/>
      <w:bookmarkEnd w:id="39"/>
      <w:bookmarkEnd w:id="40"/>
      <w:bookmarkEnd w:id="41"/>
      <w:bookmarkEnd w:id="42"/>
      <w:bookmarkEnd w:id="43"/>
      <w:bookmarkEnd w:id="44"/>
    </w:p>
    <w:p w14:paraId="4A15B216">
      <w:pPr>
        <w:pStyle w:val="186"/>
        <w:tabs>
          <w:tab w:val="center" w:pos="4592"/>
          <w:tab w:val="left" w:pos="7860"/>
        </w:tabs>
        <w:spacing w:before="0" w:line="360" w:lineRule="auto"/>
        <w:rPr>
          <w:rFonts w:ascii="Times New Roman" w:hAnsi="Times New Roman" w:eastAsia="宋体"/>
          <w:b w:val="0"/>
          <w:color w:val="000000" w:themeColor="text1"/>
          <w:sz w:val="28"/>
          <w:highlight w:val="none"/>
          <w14:textFill>
            <w14:solidFill>
              <w14:schemeClr w14:val="tx1"/>
            </w14:solidFill>
          </w14:textFill>
        </w:rPr>
      </w:pPr>
      <w:bookmarkStart w:id="45" w:name="_Toc151193833"/>
      <w:bookmarkStart w:id="46" w:name="_Toc226337215"/>
      <w:bookmarkStart w:id="47" w:name="_Toc150774619"/>
      <w:bookmarkStart w:id="48" w:name="_Toc127151519"/>
      <w:bookmarkStart w:id="49" w:name="_Toc226965709"/>
      <w:bookmarkStart w:id="50" w:name="_Toc151193617"/>
      <w:bookmarkStart w:id="51" w:name="_Toc520356144"/>
      <w:bookmarkStart w:id="52" w:name="_Toc164229360"/>
      <w:bookmarkStart w:id="53" w:name="_Toc164351613"/>
      <w:bookmarkStart w:id="54" w:name="_Toc151193761"/>
      <w:bookmarkStart w:id="55" w:name="_Toc164229214"/>
      <w:bookmarkStart w:id="56" w:name="_Toc164608633"/>
      <w:bookmarkStart w:id="57" w:name="_Toc150480757"/>
      <w:bookmarkStart w:id="58" w:name="_Toc226309763"/>
      <w:bookmarkStart w:id="59" w:name="_Toc127161433"/>
      <w:bookmarkStart w:id="60" w:name="_Toc150509270"/>
      <w:bookmarkStart w:id="61" w:name="_Toc149720812"/>
      <w:bookmarkStart w:id="62" w:name="_Toc195842884"/>
      <w:bookmarkStart w:id="63" w:name="_Toc164608788"/>
      <w:bookmarkStart w:id="64" w:name="_Toc150774724"/>
      <w:bookmarkStart w:id="65" w:name="_Toc127151720"/>
      <w:bookmarkStart w:id="66" w:name="_Toc142311021"/>
      <w:bookmarkStart w:id="67" w:name="_Toc151193907"/>
      <w:bookmarkStart w:id="68" w:name="_Toc151193689"/>
      <w:bookmarkStart w:id="69" w:name="_Toc226965792"/>
      <w:bookmarkStart w:id="70" w:name="_Toc151190146"/>
      <w:r>
        <w:rPr>
          <w:rFonts w:ascii="Times New Roman" w:hAnsi="Times New Roman" w:eastAsia="宋体"/>
          <w:color w:val="000000" w:themeColor="text1"/>
          <w:sz w:val="28"/>
          <w:highlight w:val="none"/>
          <w14:textFill>
            <w14:solidFill>
              <w14:schemeClr w14:val="tx1"/>
            </w14:solidFill>
          </w14:textFill>
        </w:rPr>
        <w:t>供应商须知资料表</w:t>
      </w:r>
    </w:p>
    <w:p w14:paraId="6AD55525">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本表是对供应商须知的具体补充和修改，如有矛盾，均以本资料表为准。标记“</w:t>
      </w:r>
      <w:r>
        <w:rPr>
          <w:b/>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”的选项意为适用于本项目，标记“</w:t>
      </w:r>
      <w:r>
        <w:rPr>
          <w:color w:val="000000" w:themeColor="text1"/>
          <w:highlight w:val="none"/>
          <w14:textFill>
            <w14:solidFill>
              <w14:schemeClr w14:val="tx1"/>
            </w14:solidFill>
          </w14:textFill>
        </w:rPr>
        <w:t>□</w:t>
      </w:r>
      <w:r>
        <w:rPr>
          <w:color w:val="000000" w:themeColor="text1"/>
          <w:sz w:val="24"/>
          <w:highlight w:val="none"/>
          <w14:textFill>
            <w14:solidFill>
              <w14:schemeClr w14:val="tx1"/>
            </w14:solidFill>
          </w14:textFill>
        </w:rPr>
        <w:t>”的选项意为不适用于本项目。</w:t>
      </w:r>
    </w:p>
    <w:tbl>
      <w:tblPr>
        <w:tblStyle w:val="30"/>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253"/>
      </w:tblGrid>
      <w:tr w14:paraId="4BE0F9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3D266BDB">
            <w:pPr>
              <w:jc w:val="center"/>
              <w:rPr>
                <w:b/>
                <w:bCs/>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条款号</w:t>
            </w:r>
          </w:p>
        </w:tc>
        <w:tc>
          <w:tcPr>
            <w:tcW w:w="1701" w:type="dxa"/>
            <w:noWrap w:val="0"/>
            <w:vAlign w:val="center"/>
          </w:tcPr>
          <w:p w14:paraId="04A72259">
            <w:pPr>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条目</w:t>
            </w:r>
          </w:p>
        </w:tc>
        <w:tc>
          <w:tcPr>
            <w:tcW w:w="7253" w:type="dxa"/>
            <w:noWrap w:val="0"/>
            <w:vAlign w:val="center"/>
          </w:tcPr>
          <w:p w14:paraId="26AB3599">
            <w:pPr>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内容</w:t>
            </w:r>
          </w:p>
        </w:tc>
      </w:tr>
      <w:tr w14:paraId="34838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988" w:type="dxa"/>
            <w:noWrap w:val="0"/>
            <w:vAlign w:val="center"/>
          </w:tcPr>
          <w:p w14:paraId="53EFA9E3">
            <w:pPr>
              <w:pStyle w:val="223"/>
              <w:jc w:val="center"/>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val="en-US" w:eastAsia="zh-CN"/>
                <w14:textFill>
                  <w14:solidFill>
                    <w14:schemeClr w14:val="tx1"/>
                  </w14:solidFill>
                </w14:textFill>
              </w:rPr>
              <w:t>1</w:t>
            </w:r>
          </w:p>
        </w:tc>
        <w:tc>
          <w:tcPr>
            <w:tcW w:w="1701" w:type="dxa"/>
            <w:noWrap w:val="0"/>
            <w:vAlign w:val="center"/>
          </w:tcPr>
          <w:p w14:paraId="1A59E51A">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项目属性</w:t>
            </w:r>
          </w:p>
        </w:tc>
        <w:tc>
          <w:tcPr>
            <w:tcW w:w="7253" w:type="dxa"/>
            <w:noWrap w:val="0"/>
            <w:vAlign w:val="center"/>
          </w:tcPr>
          <w:p w14:paraId="090E01EC">
            <w:pPr>
              <w:jc w:val="left"/>
              <w:rPr>
                <w:rFonts w:hint="eastAsia" w:eastAsia="宋体"/>
                <w:color w:val="000000" w:themeColor="text1"/>
                <w:sz w:val="24"/>
                <w:highlight w:val="none"/>
                <w:u w:val="single"/>
                <w:lang w:eastAsia="zh-CN"/>
                <w14:textFill>
                  <w14:solidFill>
                    <w14:schemeClr w14:val="tx1"/>
                  </w14:solidFill>
                </w14:textFill>
              </w:rPr>
            </w:pPr>
            <w:r>
              <w:rPr>
                <w:color w:val="000000" w:themeColor="text1"/>
                <w:sz w:val="24"/>
                <w:highlight w:val="none"/>
                <w14:textFill>
                  <w14:solidFill>
                    <w14:schemeClr w14:val="tx1"/>
                  </w14:solidFill>
                </w14:textFill>
              </w:rPr>
              <w:t>项目属性：</w:t>
            </w:r>
            <w:r>
              <w:rPr>
                <w:rFonts w:hint="eastAsia"/>
                <w:color w:val="000000" w:themeColor="text1"/>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服务</w:t>
            </w:r>
          </w:p>
        </w:tc>
      </w:tr>
      <w:tr w14:paraId="06ECA5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6" w:hRule="atLeast"/>
          <w:jc w:val="center"/>
        </w:trPr>
        <w:tc>
          <w:tcPr>
            <w:tcW w:w="988" w:type="dxa"/>
            <w:vMerge w:val="restart"/>
            <w:noWrap w:val="0"/>
            <w:vAlign w:val="center"/>
          </w:tcPr>
          <w:p w14:paraId="7F720AC2">
            <w:pPr>
              <w:pStyle w:val="223"/>
              <w:jc w:val="center"/>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val="en-US" w:eastAsia="zh-CN"/>
                <w14:textFill>
                  <w14:solidFill>
                    <w14:schemeClr w14:val="tx1"/>
                  </w14:solidFill>
                </w14:textFill>
              </w:rPr>
              <w:t>2</w:t>
            </w:r>
          </w:p>
        </w:tc>
        <w:tc>
          <w:tcPr>
            <w:tcW w:w="1701" w:type="dxa"/>
            <w:noWrap w:val="0"/>
            <w:vAlign w:val="center"/>
          </w:tcPr>
          <w:p w14:paraId="569E1580">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现场考察</w:t>
            </w:r>
          </w:p>
        </w:tc>
        <w:tc>
          <w:tcPr>
            <w:tcW w:w="7253" w:type="dxa"/>
            <w:noWrap w:val="0"/>
            <w:vAlign w:val="center"/>
          </w:tcPr>
          <w:p w14:paraId="4F1AEDB6">
            <w:pPr>
              <w:jc w:val="left"/>
              <w:rPr>
                <w:rFonts w:ascii="Times New Roman" w:hAnsi="Times New Roman"/>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sz w:val="24"/>
                <w:highlight w:val="none"/>
                <w14:textFill>
                  <w14:solidFill>
                    <w14:schemeClr w14:val="tx1"/>
                  </w14:solidFill>
                </w14:textFill>
              </w:rPr>
              <w:t>不组织</w:t>
            </w:r>
          </w:p>
        </w:tc>
      </w:tr>
      <w:tr w14:paraId="10E51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jc w:val="center"/>
        </w:trPr>
        <w:tc>
          <w:tcPr>
            <w:tcW w:w="988" w:type="dxa"/>
            <w:vMerge w:val="continue"/>
            <w:noWrap w:val="0"/>
            <w:vAlign w:val="center"/>
          </w:tcPr>
          <w:p w14:paraId="204AFF11">
            <w:pPr>
              <w:pStyle w:val="223"/>
              <w:jc w:val="center"/>
              <w:rPr>
                <w:rFonts w:ascii="Times New Roman" w:hAnsi="Times New Roman"/>
                <w:color w:val="000000"/>
                <w:sz w:val="24"/>
                <w:szCs w:val="24"/>
                <w:highlight w:val="none"/>
              </w:rPr>
            </w:pPr>
          </w:p>
        </w:tc>
        <w:tc>
          <w:tcPr>
            <w:tcW w:w="1701" w:type="dxa"/>
            <w:noWrap w:val="0"/>
            <w:vAlign w:val="center"/>
          </w:tcPr>
          <w:p w14:paraId="781C1957">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磋商前答疑会</w:t>
            </w:r>
          </w:p>
        </w:tc>
        <w:tc>
          <w:tcPr>
            <w:tcW w:w="7253" w:type="dxa"/>
            <w:noWrap w:val="0"/>
            <w:vAlign w:val="center"/>
          </w:tcPr>
          <w:p w14:paraId="04209AA8">
            <w:pPr>
              <w:jc w:val="left"/>
              <w:rPr>
                <w:color w:val="000000" w:themeColor="text1"/>
                <w:sz w:val="24"/>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sz w:val="24"/>
                <w:highlight w:val="none"/>
                <w14:textFill>
                  <w14:solidFill>
                    <w14:schemeClr w14:val="tx1"/>
                  </w14:solidFill>
                </w14:textFill>
              </w:rPr>
              <w:t>不召开</w:t>
            </w:r>
          </w:p>
        </w:tc>
      </w:tr>
      <w:tr w14:paraId="2822F7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988" w:type="dxa"/>
            <w:noWrap w:val="0"/>
            <w:vAlign w:val="center"/>
          </w:tcPr>
          <w:p w14:paraId="42547804">
            <w:pPr>
              <w:pStyle w:val="223"/>
              <w:jc w:val="center"/>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val="en-US" w:eastAsia="zh-CN"/>
                <w14:textFill>
                  <w14:solidFill>
                    <w14:schemeClr w14:val="tx1"/>
                  </w14:solidFill>
                </w14:textFill>
              </w:rPr>
              <w:t>3</w:t>
            </w:r>
          </w:p>
        </w:tc>
        <w:tc>
          <w:tcPr>
            <w:tcW w:w="1701" w:type="dxa"/>
            <w:noWrap w:val="0"/>
            <w:vAlign w:val="center"/>
          </w:tcPr>
          <w:p w14:paraId="37B30622">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标的所属行业</w:t>
            </w:r>
          </w:p>
        </w:tc>
        <w:tc>
          <w:tcPr>
            <w:tcW w:w="7253" w:type="dxa"/>
            <w:noWrap w:val="0"/>
            <w:vAlign w:val="center"/>
          </w:tcPr>
          <w:p w14:paraId="0BDCB23A">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本项目采购标的对应的中小企业划分标准所属行业：</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lang w:val="en-US" w:eastAsia="zh-CN"/>
                <w14:textFill>
                  <w14:solidFill>
                    <w14:schemeClr w14:val="tx1"/>
                  </w14:solidFill>
                </w14:textFill>
              </w:rPr>
              <w:t>其他未列明行业</w:t>
            </w:r>
            <w:r>
              <w:rPr>
                <w:rFonts w:hint="eastAsia"/>
                <w:color w:val="000000" w:themeColor="text1"/>
                <w:sz w:val="24"/>
                <w:highlight w:val="none"/>
                <w:u w:val="single"/>
                <w14:textFill>
                  <w14:solidFill>
                    <w14:schemeClr w14:val="tx1"/>
                  </w14:solidFill>
                </w14:textFill>
              </w:rPr>
              <w:t>。</w:t>
            </w:r>
          </w:p>
        </w:tc>
      </w:tr>
      <w:tr w14:paraId="34056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0" w:hRule="atLeast"/>
          <w:jc w:val="center"/>
        </w:trPr>
        <w:tc>
          <w:tcPr>
            <w:tcW w:w="988" w:type="dxa"/>
            <w:noWrap w:val="0"/>
            <w:vAlign w:val="center"/>
          </w:tcPr>
          <w:p w14:paraId="1BA6FDE4">
            <w:pPr>
              <w:pStyle w:val="223"/>
              <w:jc w:val="center"/>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val="en-US" w:eastAsia="zh-CN"/>
                <w14:textFill>
                  <w14:solidFill>
                    <w14:schemeClr w14:val="tx1"/>
                  </w14:solidFill>
                </w14:textFill>
              </w:rPr>
              <w:t>4</w:t>
            </w:r>
          </w:p>
        </w:tc>
        <w:tc>
          <w:tcPr>
            <w:tcW w:w="1701" w:type="dxa"/>
            <w:noWrap w:val="0"/>
            <w:vAlign w:val="center"/>
          </w:tcPr>
          <w:p w14:paraId="55FC1136">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报价</w:t>
            </w:r>
          </w:p>
        </w:tc>
        <w:tc>
          <w:tcPr>
            <w:tcW w:w="7253" w:type="dxa"/>
            <w:noWrap w:val="0"/>
            <w:vAlign w:val="center"/>
          </w:tcPr>
          <w:p w14:paraId="0A09465A">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报价的特殊规定：</w:t>
            </w:r>
          </w:p>
          <w:p w14:paraId="39E414A6">
            <w:pPr>
              <w:jc w:val="left"/>
              <w:rPr>
                <w:rFonts w:eastAsia="宋体"/>
                <w:color w:val="000000" w:themeColor="text1"/>
                <w:sz w:val="24"/>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sz w:val="24"/>
                <w:highlight w:val="none"/>
                <w14:textFill>
                  <w14:solidFill>
                    <w14:schemeClr w14:val="tx1"/>
                  </w14:solidFill>
                </w14:textFill>
              </w:rPr>
              <w:t>有，具体情形：</w:t>
            </w:r>
            <w:r>
              <w:rPr>
                <w:rFonts w:hint="eastAsia" w:ascii="Times New Roman" w:hAnsi="Times New Roman" w:eastAsia="宋体" w:cs="Times New Roman"/>
                <w:color w:val="000000" w:themeColor="text1"/>
                <w:sz w:val="24"/>
                <w:highlight w:val="none"/>
                <w:u w:val="single"/>
                <w:lang w:val="en-US" w:eastAsia="zh-CN"/>
                <w14:textFill>
                  <w14:solidFill>
                    <w14:schemeClr w14:val="tx1"/>
                  </w14:solidFill>
                </w14:textFill>
              </w:rPr>
              <w:t>本项目采用二轮报价，响应文件中书面报价为首轮报价（首轮不唱标），第二轮报价不得</w:t>
            </w:r>
            <w:r>
              <w:rPr>
                <w:rFonts w:hint="eastAsia" w:cs="Times New Roman"/>
                <w:color w:val="000000" w:themeColor="text1"/>
                <w:sz w:val="24"/>
                <w:highlight w:val="none"/>
                <w:u w:val="single"/>
                <w:lang w:val="en-US" w:eastAsia="zh-CN"/>
                <w14:textFill>
                  <w14:solidFill>
                    <w14:schemeClr w14:val="tx1"/>
                  </w14:solidFill>
                </w14:textFill>
              </w:rPr>
              <w:t>低于</w:t>
            </w:r>
            <w:r>
              <w:rPr>
                <w:rFonts w:hint="eastAsia" w:ascii="Times New Roman" w:hAnsi="Times New Roman" w:eastAsia="宋体" w:cs="Times New Roman"/>
                <w:color w:val="000000" w:themeColor="text1"/>
                <w:sz w:val="24"/>
                <w:highlight w:val="none"/>
                <w:u w:val="single"/>
                <w:lang w:val="en-US" w:eastAsia="zh-CN"/>
                <w14:textFill>
                  <w14:solidFill>
                    <w14:schemeClr w14:val="tx1"/>
                  </w14:solidFill>
                </w14:textFill>
              </w:rPr>
              <w:t>首轮报价，第二轮报价即为最终报价；否则作无效报价文件处理。</w:t>
            </w:r>
          </w:p>
        </w:tc>
      </w:tr>
      <w:tr w14:paraId="2AAB3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 w:hRule="atLeast"/>
          <w:jc w:val="center"/>
        </w:trPr>
        <w:tc>
          <w:tcPr>
            <w:tcW w:w="988" w:type="dxa"/>
            <w:noWrap w:val="0"/>
            <w:vAlign w:val="center"/>
          </w:tcPr>
          <w:p w14:paraId="1AE120AC">
            <w:pPr>
              <w:pStyle w:val="223"/>
              <w:jc w:val="center"/>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val="en-US" w:eastAsia="zh-CN"/>
                <w14:textFill>
                  <w14:solidFill>
                    <w14:schemeClr w14:val="tx1"/>
                  </w14:solidFill>
                </w14:textFill>
              </w:rPr>
              <w:t>5</w:t>
            </w:r>
          </w:p>
        </w:tc>
        <w:tc>
          <w:tcPr>
            <w:tcW w:w="1701" w:type="dxa"/>
            <w:noWrap w:val="0"/>
            <w:vAlign w:val="center"/>
          </w:tcPr>
          <w:p w14:paraId="58926A8F">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磋商保证金</w:t>
            </w:r>
          </w:p>
        </w:tc>
        <w:tc>
          <w:tcPr>
            <w:tcW w:w="7253" w:type="dxa"/>
            <w:noWrap w:val="0"/>
            <w:vAlign w:val="center"/>
          </w:tcPr>
          <w:p w14:paraId="28324C7A">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免收</w:t>
            </w:r>
          </w:p>
        </w:tc>
      </w:tr>
      <w:tr w14:paraId="6F0C0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A2AA113">
            <w:pPr>
              <w:pStyle w:val="223"/>
              <w:jc w:val="center"/>
              <w:rPr>
                <w:rFonts w:hint="eastAsia" w:ascii="Times New Roman" w:hAnsi="Times New Roman" w:eastAsia="宋体"/>
                <w:color w:val="0000FF"/>
                <w:sz w:val="24"/>
                <w:szCs w:val="24"/>
                <w:highlight w:val="none"/>
              </w:rPr>
            </w:pPr>
            <w:r>
              <w:rPr>
                <w:rFonts w:hint="eastAsia" w:ascii="Times New Roman" w:hAnsi="Times New Roman"/>
                <w:color w:val="0000FF"/>
                <w:sz w:val="24"/>
                <w:szCs w:val="24"/>
                <w:highlight w:val="none"/>
                <w:lang w:val="en-US" w:eastAsia="zh-CN"/>
              </w:rPr>
              <w:t>6</w:t>
            </w:r>
          </w:p>
        </w:tc>
        <w:tc>
          <w:tcPr>
            <w:tcW w:w="1701" w:type="dxa"/>
            <w:noWrap w:val="0"/>
            <w:vAlign w:val="center"/>
          </w:tcPr>
          <w:p w14:paraId="4CD71568">
            <w:pPr>
              <w:jc w:val="center"/>
              <w:rPr>
                <w:rFonts w:hint="eastAsia" w:eastAsia="宋体"/>
                <w:color w:val="0000FF"/>
                <w:sz w:val="24"/>
                <w:highlight w:val="none"/>
              </w:rPr>
            </w:pPr>
            <w:r>
              <w:rPr>
                <w:rFonts w:hint="eastAsia"/>
                <w:color w:val="0000FF"/>
                <w:sz w:val="24"/>
                <w:highlight w:val="none"/>
                <w:lang w:eastAsia="zh-CN"/>
              </w:rPr>
              <w:t>履约保证金</w:t>
            </w:r>
          </w:p>
        </w:tc>
        <w:tc>
          <w:tcPr>
            <w:tcW w:w="7253" w:type="dxa"/>
            <w:noWrap w:val="0"/>
            <w:vAlign w:val="center"/>
          </w:tcPr>
          <w:p w14:paraId="16DC3A97">
            <w:pPr>
              <w:jc w:val="left"/>
              <w:rPr>
                <w:rFonts w:hint="eastAsia"/>
                <w:color w:val="0000FF"/>
                <w:sz w:val="24"/>
                <w:highlight w:val="none"/>
              </w:rPr>
            </w:pPr>
            <w:r>
              <w:rPr>
                <w:rFonts w:hint="eastAsia"/>
                <w:color w:val="0000FF"/>
                <w:sz w:val="24"/>
                <w:highlight w:val="none"/>
              </w:rPr>
              <w:t>本项目履约保证金</w:t>
            </w:r>
            <w:r>
              <w:rPr>
                <w:rFonts w:hint="eastAsia"/>
                <w:color w:val="0000FF"/>
                <w:sz w:val="24"/>
                <w:highlight w:val="none"/>
                <w:lang w:eastAsia="zh-CN"/>
              </w:rPr>
              <w:t>为</w:t>
            </w:r>
            <w:r>
              <w:rPr>
                <w:rFonts w:hint="eastAsia"/>
                <w:color w:val="0000FF"/>
                <w:sz w:val="24"/>
                <w:highlight w:val="none"/>
              </w:rPr>
              <w:t>合同价的</w:t>
            </w:r>
            <w:r>
              <w:rPr>
                <w:rFonts w:hint="eastAsia"/>
                <w:color w:val="0000FF"/>
                <w:sz w:val="24"/>
                <w:highlight w:val="none"/>
                <w:u w:val="single"/>
              </w:rPr>
              <w:t xml:space="preserve"> 5%</w:t>
            </w:r>
            <w:r>
              <w:rPr>
                <w:rFonts w:hint="eastAsia"/>
                <w:color w:val="0000FF"/>
                <w:sz w:val="24"/>
                <w:highlight w:val="none"/>
              </w:rPr>
              <w:t>（中标供应商自主选择以支票、汇票、本票、保函</w:t>
            </w:r>
            <w:r>
              <w:rPr>
                <w:rFonts w:hint="eastAsia"/>
                <w:color w:val="0000FF"/>
                <w:sz w:val="24"/>
                <w:highlight w:val="none"/>
                <w:lang w:eastAsia="zh-CN"/>
              </w:rPr>
              <w:t>、</w:t>
            </w:r>
            <w:r>
              <w:rPr>
                <w:rFonts w:hint="eastAsia"/>
                <w:color w:val="0000FF"/>
                <w:sz w:val="24"/>
                <w:highlight w:val="none"/>
                <w:lang w:val="en-US" w:eastAsia="zh-CN"/>
              </w:rPr>
              <w:t>转账</w:t>
            </w:r>
            <w:r>
              <w:rPr>
                <w:rFonts w:hint="eastAsia"/>
                <w:color w:val="0000FF"/>
                <w:sz w:val="24"/>
                <w:highlight w:val="none"/>
              </w:rPr>
              <w:t>等非现金形式缴纳或递交），采购人将在终验完毕后返还中标供应商履约保证金。</w:t>
            </w:r>
          </w:p>
        </w:tc>
      </w:tr>
      <w:tr w14:paraId="6BAE9D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6E0AC78">
            <w:pPr>
              <w:pStyle w:val="223"/>
              <w:jc w:val="center"/>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val="en-US" w:eastAsia="zh-CN"/>
                <w14:textFill>
                  <w14:solidFill>
                    <w14:schemeClr w14:val="tx1"/>
                  </w14:solidFill>
                </w14:textFill>
              </w:rPr>
              <w:t>7</w:t>
            </w:r>
          </w:p>
        </w:tc>
        <w:tc>
          <w:tcPr>
            <w:tcW w:w="1701" w:type="dxa"/>
            <w:noWrap w:val="0"/>
            <w:vAlign w:val="center"/>
          </w:tcPr>
          <w:p w14:paraId="526DC1D9">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响应有效期</w:t>
            </w:r>
          </w:p>
        </w:tc>
        <w:tc>
          <w:tcPr>
            <w:tcW w:w="7253" w:type="dxa"/>
            <w:noWrap w:val="0"/>
            <w:vAlign w:val="center"/>
          </w:tcPr>
          <w:p w14:paraId="647ECD42">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自提交响应文件的截止之日起算</w:t>
            </w:r>
            <w:r>
              <w:rPr>
                <w:rFonts w:hint="eastAsia"/>
                <w:color w:val="000000" w:themeColor="text1"/>
                <w:sz w:val="24"/>
                <w:highlight w:val="none"/>
                <w:u w:val="single"/>
                <w14:textFill>
                  <w14:solidFill>
                    <w14:schemeClr w14:val="tx1"/>
                  </w14:solidFill>
                </w14:textFill>
              </w:rPr>
              <w:t xml:space="preserve"> 60 </w:t>
            </w:r>
            <w:r>
              <w:rPr>
                <w:color w:val="000000" w:themeColor="text1"/>
                <w:sz w:val="24"/>
                <w:highlight w:val="none"/>
                <w14:textFill>
                  <w14:solidFill>
                    <w14:schemeClr w14:val="tx1"/>
                  </w14:solidFill>
                </w14:textFill>
              </w:rPr>
              <w:t>日历天。</w:t>
            </w:r>
          </w:p>
        </w:tc>
      </w:tr>
      <w:tr w14:paraId="7AF9E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B4D3D6A">
            <w:pPr>
              <w:pStyle w:val="223"/>
              <w:jc w:val="center"/>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val="en-US" w:eastAsia="zh-CN"/>
                <w14:textFill>
                  <w14:solidFill>
                    <w14:schemeClr w14:val="tx1"/>
                  </w14:solidFill>
                </w14:textFill>
              </w:rPr>
              <w:t>8</w:t>
            </w:r>
          </w:p>
        </w:tc>
        <w:tc>
          <w:tcPr>
            <w:tcW w:w="1701" w:type="dxa"/>
            <w:noWrap w:val="0"/>
            <w:vAlign w:val="center"/>
          </w:tcPr>
          <w:p w14:paraId="1B327E4D">
            <w:pPr>
              <w:jc w:val="center"/>
              <w:rPr>
                <w:rFonts w:hint="eastAsia"/>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eastAsia="zh-CN"/>
                <w14:textFill>
                  <w14:solidFill>
                    <w14:schemeClr w14:val="tx1"/>
                  </w14:solidFill>
                </w14:textFill>
              </w:rPr>
              <w:t>响应文件</w:t>
            </w:r>
            <w:r>
              <w:rPr>
                <w:rFonts w:hint="eastAsia" w:ascii="Times New Roman" w:hAnsi="Times New Roman" w:eastAsia="宋体" w:cs="Times New Roman"/>
                <w:color w:val="000000" w:themeColor="text1"/>
                <w:sz w:val="24"/>
                <w:highlight w:val="none"/>
                <w14:textFill>
                  <w14:solidFill>
                    <w14:schemeClr w14:val="tx1"/>
                  </w14:solidFill>
                </w14:textFill>
              </w:rPr>
              <w:t>份数</w:t>
            </w:r>
          </w:p>
        </w:tc>
        <w:tc>
          <w:tcPr>
            <w:tcW w:w="7253" w:type="dxa"/>
            <w:noWrap w:val="0"/>
            <w:vAlign w:val="center"/>
          </w:tcPr>
          <w:p w14:paraId="5636B215">
            <w:pPr>
              <w:jc w:val="left"/>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无需提供纸质</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响应文件</w:t>
            </w:r>
            <w:r>
              <w:rPr>
                <w:rFonts w:hint="eastAsia" w:ascii="Times New Roman" w:hAnsi="Times New Roman" w:eastAsia="宋体" w:cs="Times New Roman"/>
                <w:color w:val="000000" w:themeColor="text1"/>
                <w:sz w:val="24"/>
                <w:highlight w:val="none"/>
                <w14:textFill>
                  <w14:solidFill>
                    <w14:schemeClr w14:val="tx1"/>
                  </w14:solidFill>
                </w14:textFill>
              </w:rPr>
              <w:t>。</w:t>
            </w:r>
          </w:p>
          <w:p w14:paraId="2A696316">
            <w:pPr>
              <w:jc w:val="left"/>
              <w:rPr>
                <w:rFonts w:hint="eastAsia"/>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eastAsia="zh-CN"/>
                <w14:textFill>
                  <w14:solidFill>
                    <w14:schemeClr w14:val="tx1"/>
                  </w14:solidFill>
                </w14:textFill>
              </w:rPr>
              <w:t>中标供应商</w:t>
            </w:r>
            <w:r>
              <w:rPr>
                <w:rFonts w:hint="eastAsia" w:ascii="Times New Roman" w:hAnsi="Times New Roman" w:eastAsia="宋体" w:cs="Times New Roman"/>
                <w:color w:val="000000" w:themeColor="text1"/>
                <w:sz w:val="24"/>
                <w:highlight w:val="none"/>
                <w14:textFill>
                  <w14:solidFill>
                    <w14:schemeClr w14:val="tx1"/>
                  </w14:solidFill>
                </w14:textFill>
              </w:rPr>
              <w:t>在领取中标通知书前须向</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采购人</w:t>
            </w:r>
            <w:r>
              <w:rPr>
                <w:rFonts w:hint="eastAsia" w:ascii="Times New Roman" w:hAnsi="Times New Roman" w:eastAsia="宋体" w:cs="Times New Roman"/>
                <w:color w:val="000000" w:themeColor="text1"/>
                <w:sz w:val="24"/>
                <w:highlight w:val="none"/>
                <w14:textFill>
                  <w14:solidFill>
                    <w14:schemeClr w14:val="tx1"/>
                  </w14:solidFill>
                </w14:textFill>
              </w:rPr>
              <w:t>额外提供从电子化招投标系统打印出的与投标所报电子文件一致的纸质投标书</w:t>
            </w:r>
            <w:r>
              <w:rPr>
                <w:rFonts w:hint="eastAsia" w:ascii="Times New Roman" w:hAnsi="Times New Roman" w:eastAsia="宋体" w:cs="Times New Roman"/>
                <w:color w:val="000000" w:themeColor="text1"/>
                <w:sz w:val="24"/>
                <w:highlight w:val="none"/>
                <w:u w:val="single"/>
                <w:lang w:val="en-US" w:eastAsia="zh-CN"/>
                <w14:textFill>
                  <w14:solidFill>
                    <w14:schemeClr w14:val="tx1"/>
                  </w14:solidFill>
                </w14:textFill>
              </w:rPr>
              <w:t xml:space="preserve">  3  </w:t>
            </w:r>
            <w:r>
              <w:rPr>
                <w:rFonts w:hint="eastAsia" w:ascii="Times New Roman" w:hAnsi="Times New Roman" w:eastAsia="宋体" w:cs="Times New Roman"/>
                <w:color w:val="000000" w:themeColor="text1"/>
                <w:sz w:val="24"/>
                <w:highlight w:val="none"/>
                <w14:textFill>
                  <w14:solidFill>
                    <w14:schemeClr w14:val="tx1"/>
                  </w14:solidFill>
                </w14:textFill>
              </w:rPr>
              <w:t>份，并按要求签字盖章。</w:t>
            </w:r>
          </w:p>
        </w:tc>
      </w:tr>
      <w:tr w14:paraId="3A704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129099C">
            <w:pPr>
              <w:pStyle w:val="223"/>
              <w:jc w:val="center"/>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val="en-US" w:eastAsia="zh-CN"/>
                <w14:textFill>
                  <w14:solidFill>
                    <w14:schemeClr w14:val="tx1"/>
                  </w14:solidFill>
                </w14:textFill>
              </w:rPr>
              <w:t>9</w:t>
            </w:r>
          </w:p>
        </w:tc>
        <w:tc>
          <w:tcPr>
            <w:tcW w:w="1701" w:type="dxa"/>
            <w:noWrap w:val="0"/>
            <w:vAlign w:val="center"/>
          </w:tcPr>
          <w:p w14:paraId="13673647">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分包</w:t>
            </w:r>
          </w:p>
        </w:tc>
        <w:tc>
          <w:tcPr>
            <w:tcW w:w="7253" w:type="dxa"/>
            <w:noWrap w:val="0"/>
            <w:vAlign w:val="center"/>
          </w:tcPr>
          <w:p w14:paraId="181F6C46">
            <w:pPr>
              <w:jc w:val="left"/>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本项目是否允许分包： </w:t>
            </w:r>
            <w:r>
              <w:rPr>
                <w:rFonts w:hint="eastAsia"/>
                <w:color w:val="000000" w:themeColor="text1"/>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不允许</w:t>
            </w:r>
          </w:p>
        </w:tc>
      </w:tr>
      <w:tr w14:paraId="033A47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C49DA61">
            <w:pPr>
              <w:pStyle w:val="223"/>
              <w:jc w:val="center"/>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val="en-US" w:eastAsia="zh-CN"/>
                <w14:textFill>
                  <w14:solidFill>
                    <w14:schemeClr w14:val="tx1"/>
                  </w14:solidFill>
                </w14:textFill>
              </w:rPr>
              <w:t>10</w:t>
            </w:r>
          </w:p>
        </w:tc>
        <w:tc>
          <w:tcPr>
            <w:tcW w:w="1701" w:type="dxa"/>
            <w:noWrap w:val="0"/>
            <w:vAlign w:val="center"/>
          </w:tcPr>
          <w:p w14:paraId="1C754FCD">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询问</w:t>
            </w:r>
          </w:p>
        </w:tc>
        <w:tc>
          <w:tcPr>
            <w:tcW w:w="7253" w:type="dxa"/>
            <w:noWrap w:val="0"/>
            <w:vAlign w:val="center"/>
          </w:tcPr>
          <w:p w14:paraId="54E98BC2">
            <w:pPr>
              <w:jc w:val="left"/>
              <w:rPr>
                <w:rFonts w:hint="eastAsia" w:eastAsia="宋体"/>
                <w:color w:val="000000" w:themeColor="text1"/>
                <w:sz w:val="24"/>
                <w:highlight w:val="none"/>
                <w:lang w:val="en-US" w:eastAsia="zh-CN"/>
                <w14:textFill>
                  <w14:solidFill>
                    <w14:schemeClr w14:val="tx1"/>
                  </w14:solidFill>
                </w14:textFill>
              </w:rPr>
            </w:pPr>
            <w:r>
              <w:rPr>
                <w:color w:val="000000" w:themeColor="text1"/>
                <w:sz w:val="24"/>
                <w:highlight w:val="none"/>
                <w14:textFill>
                  <w14:solidFill>
                    <w14:schemeClr w14:val="tx1"/>
                  </w14:solidFill>
                </w14:textFill>
              </w:rPr>
              <w:t>询问送达形式：</w:t>
            </w:r>
            <w:r>
              <w:rPr>
                <w:rFonts w:hint="eastAsia"/>
                <w:color w:val="000000" w:themeColor="text1"/>
                <w:sz w:val="24"/>
                <w:highlight w:val="none"/>
                <w:u w:val="single"/>
                <w14:textFill>
                  <w14:solidFill>
                    <w14:schemeClr w14:val="tx1"/>
                  </w14:solidFill>
                </w14:textFill>
              </w:rPr>
              <w:t>书面</w:t>
            </w:r>
            <w:r>
              <w:rPr>
                <w:rFonts w:hint="eastAsia"/>
                <w:color w:val="000000" w:themeColor="text1"/>
                <w:sz w:val="24"/>
                <w:highlight w:val="none"/>
                <w:u w:val="single"/>
                <w:lang w:val="en-US" w:eastAsia="zh-CN"/>
                <w14:textFill>
                  <w14:solidFill>
                    <w14:schemeClr w14:val="tx1"/>
                  </w14:solidFill>
                </w14:textFill>
              </w:rPr>
              <w:t>形式</w:t>
            </w:r>
          </w:p>
        </w:tc>
      </w:tr>
      <w:tr w14:paraId="216F3C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2E0B76D">
            <w:pPr>
              <w:pStyle w:val="223"/>
              <w:jc w:val="center"/>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val="en-US" w:eastAsia="zh-CN"/>
                <w14:textFill>
                  <w14:solidFill>
                    <w14:schemeClr w14:val="tx1"/>
                  </w14:solidFill>
                </w14:textFill>
              </w:rPr>
              <w:t>11</w:t>
            </w:r>
          </w:p>
        </w:tc>
        <w:tc>
          <w:tcPr>
            <w:tcW w:w="1701" w:type="dxa"/>
            <w:noWrap w:val="0"/>
            <w:vAlign w:val="center"/>
          </w:tcPr>
          <w:p w14:paraId="59D1F86E">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联系方式</w:t>
            </w:r>
          </w:p>
        </w:tc>
        <w:tc>
          <w:tcPr>
            <w:tcW w:w="7253" w:type="dxa"/>
            <w:noWrap w:val="0"/>
            <w:vAlign w:val="center"/>
          </w:tcPr>
          <w:p w14:paraId="39C65069">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接收询问和质疑的联系方式</w:t>
            </w:r>
          </w:p>
          <w:p w14:paraId="0088F879">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联系部门：</w:t>
            </w:r>
            <w:r>
              <w:rPr>
                <w:rFonts w:hint="eastAsia" w:cs="Times New Roman"/>
                <w:color w:val="000000" w:themeColor="text1"/>
                <w:sz w:val="24"/>
                <w:highlight w:val="none"/>
                <w:u w:val="single"/>
                <w:lang w:eastAsia="zh-CN"/>
                <w14:textFill>
                  <w14:solidFill>
                    <w14:schemeClr w14:val="tx1"/>
                  </w14:solidFill>
                </w14:textFill>
              </w:rPr>
              <w:t>江苏华溯工程项目管理有限公司</w:t>
            </w:r>
            <w:r>
              <w:rPr>
                <w:rFonts w:hint="eastAsia" w:ascii="Times New Roman" w:hAnsi="Times New Roman" w:eastAsia="宋体" w:cs="Times New Roman"/>
                <w:color w:val="000000" w:themeColor="text1"/>
                <w:sz w:val="24"/>
                <w:highlight w:val="none"/>
                <w:u w:val="single"/>
                <w:lang w:eastAsia="zh-CN"/>
                <w14:textFill>
                  <w14:solidFill>
                    <w14:schemeClr w14:val="tx1"/>
                  </w14:solidFill>
                </w14:textFill>
              </w:rPr>
              <w:t>；</w:t>
            </w:r>
          </w:p>
          <w:p w14:paraId="57B62CEB">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联系电话：</w:t>
            </w:r>
            <w:r>
              <w:rPr>
                <w:rFonts w:hint="eastAsia"/>
                <w:color w:val="000000" w:themeColor="text1"/>
                <w:sz w:val="24"/>
                <w:highlight w:val="none"/>
                <w:u w:val="single"/>
                <w:lang w:val="en-US" w:eastAsia="zh-CN"/>
                <w14:textFill>
                  <w14:solidFill>
                    <w14:schemeClr w14:val="tx1"/>
                  </w14:solidFill>
                </w14:textFill>
              </w:rPr>
              <w:t>0519-82807908</w:t>
            </w:r>
            <w:r>
              <w:rPr>
                <w:color w:val="000000" w:themeColor="text1"/>
                <w:sz w:val="24"/>
                <w:highlight w:val="none"/>
                <w14:textFill>
                  <w14:solidFill>
                    <w14:schemeClr w14:val="tx1"/>
                  </w14:solidFill>
                </w14:textFill>
              </w:rPr>
              <w:t>；</w:t>
            </w:r>
          </w:p>
          <w:p w14:paraId="4048A17D">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通讯地址：</w:t>
            </w:r>
            <w:r>
              <w:rPr>
                <w:rFonts w:hint="eastAsia"/>
                <w:color w:val="000000" w:themeColor="text1"/>
                <w:sz w:val="24"/>
                <w:highlight w:val="none"/>
                <w:u w:val="single"/>
                <w14:textFill>
                  <w14:solidFill>
                    <w14:schemeClr w14:val="tx1"/>
                  </w14:solidFill>
                </w14:textFill>
              </w:rPr>
              <w:t>常州市</w:t>
            </w:r>
            <w:r>
              <w:rPr>
                <w:rFonts w:hint="eastAsia"/>
                <w:color w:val="000000" w:themeColor="text1"/>
                <w:sz w:val="24"/>
                <w:highlight w:val="none"/>
                <w:u w:val="single"/>
                <w:lang w:val="en-US" w:eastAsia="zh-CN"/>
                <w14:textFill>
                  <w14:solidFill>
                    <w14:schemeClr w14:val="tx1"/>
                  </w14:solidFill>
                </w14:textFill>
              </w:rPr>
              <w:t>金坛区金胜东路19号</w:t>
            </w:r>
            <w:r>
              <w:rPr>
                <w:rFonts w:hint="eastAsia"/>
                <w:color w:val="000000" w:themeColor="text1"/>
                <w:sz w:val="24"/>
                <w:highlight w:val="none"/>
                <w:u w:val="single"/>
                <w14:textFill>
                  <w14:solidFill>
                    <w14:schemeClr w14:val="tx1"/>
                  </w14:solidFill>
                </w14:textFill>
              </w:rPr>
              <w:t>3楼</w:t>
            </w:r>
            <w:r>
              <w:rPr>
                <w:color w:val="000000" w:themeColor="text1"/>
                <w:sz w:val="24"/>
                <w:highlight w:val="none"/>
                <w14:textFill>
                  <w14:solidFill>
                    <w14:schemeClr w14:val="tx1"/>
                  </w14:solidFill>
                </w14:textFill>
              </w:rPr>
              <w:t>。</w:t>
            </w:r>
          </w:p>
        </w:tc>
      </w:tr>
      <w:tr w14:paraId="4DD82C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3A53C44">
            <w:pPr>
              <w:pStyle w:val="223"/>
              <w:jc w:val="center"/>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val="en-US" w:eastAsia="zh-CN"/>
                <w14:textFill>
                  <w14:solidFill>
                    <w14:schemeClr w14:val="tx1"/>
                  </w14:solidFill>
                </w14:textFill>
              </w:rPr>
              <w:t>12</w:t>
            </w:r>
          </w:p>
        </w:tc>
        <w:tc>
          <w:tcPr>
            <w:tcW w:w="1701" w:type="dxa"/>
            <w:noWrap w:val="0"/>
            <w:vAlign w:val="center"/>
          </w:tcPr>
          <w:p w14:paraId="511A1180">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代理费</w:t>
            </w:r>
          </w:p>
        </w:tc>
        <w:tc>
          <w:tcPr>
            <w:tcW w:w="7253" w:type="dxa"/>
            <w:noWrap w:val="0"/>
            <w:vAlign w:val="center"/>
          </w:tcPr>
          <w:p w14:paraId="1FDA689E">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收费对象：</w:t>
            </w:r>
            <w:r>
              <w:rPr>
                <w:rFonts w:hint="eastAsia"/>
                <w:color w:val="000000" w:themeColor="text1"/>
                <w:highlight w:val="none"/>
                <w14:textFill>
                  <w14:solidFill>
                    <w14:schemeClr w14:val="tx1"/>
                  </w14:solidFill>
                </w14:textFill>
              </w:rPr>
              <w:t>□</w:t>
            </w:r>
            <w:r>
              <w:rPr>
                <w:color w:val="000000" w:themeColor="text1"/>
                <w:sz w:val="24"/>
                <w:highlight w:val="none"/>
                <w14:textFill>
                  <w14:solidFill>
                    <w14:schemeClr w14:val="tx1"/>
                  </w14:solidFill>
                </w14:textFill>
              </w:rPr>
              <w:t>采购人</w:t>
            </w:r>
            <w:r>
              <w:rPr>
                <w:rFonts w:hint="eastAsia"/>
                <w:color w:val="000000" w:themeColor="text1"/>
                <w:sz w:val="24"/>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w:t>
            </w:r>
            <w:r>
              <w:rPr>
                <w:color w:val="000000" w:themeColor="text1"/>
                <w:sz w:val="24"/>
                <w:highlight w:val="none"/>
                <w14:textFill>
                  <w14:solidFill>
                    <w14:schemeClr w14:val="tx1"/>
                  </w14:solidFill>
                </w14:textFill>
              </w:rPr>
              <w:t>成交供应商</w:t>
            </w:r>
          </w:p>
          <w:p w14:paraId="52F138C4">
            <w:pPr>
              <w:jc w:val="left"/>
              <w:rPr>
                <w:color w:val="000000" w:themeColor="text1"/>
                <w:sz w:val="24"/>
                <w:highlight w:val="none"/>
                <w14:textFill>
                  <w14:solidFill>
                    <w14:schemeClr w14:val="tx1"/>
                  </w14:solidFill>
                </w14:textFill>
              </w:rPr>
            </w:pPr>
            <w:r>
              <w:rPr>
                <w:sz w:val="24"/>
                <w:highlight w:val="none"/>
              </w:rPr>
              <w:t>收费标准</w:t>
            </w:r>
            <w:r>
              <w:rPr>
                <w:color w:val="000000"/>
                <w:sz w:val="24"/>
                <w:highlight w:val="none"/>
              </w:rPr>
              <w:t>：</w:t>
            </w:r>
            <w:r>
              <w:rPr>
                <w:rFonts w:hint="eastAsia" w:ascii="Times New Roman" w:eastAsia="宋体"/>
                <w:color w:val="000000"/>
                <w:sz w:val="24"/>
                <w:highlight w:val="none"/>
                <w:u w:val="single"/>
                <w:lang w:val="en-US" w:eastAsia="zh-CN"/>
              </w:rPr>
              <w:t>中标价的3.0‰，最低6000元，</w:t>
            </w:r>
            <w:r>
              <w:rPr>
                <w:rFonts w:hint="eastAsia"/>
                <w:color w:val="000000"/>
                <w:sz w:val="24"/>
                <w:highlight w:val="none"/>
                <w:u w:val="single"/>
              </w:rPr>
              <w:t>中标单位在</w:t>
            </w:r>
            <w:r>
              <w:rPr>
                <w:rFonts w:hint="eastAsia"/>
                <w:color w:val="000000" w:themeColor="text1"/>
                <w:sz w:val="24"/>
                <w:highlight w:val="none"/>
                <w:u w:val="single"/>
                <w14:textFill>
                  <w14:solidFill>
                    <w14:schemeClr w14:val="tx1"/>
                  </w14:solidFill>
                </w14:textFill>
              </w:rPr>
              <w:t>领取</w:t>
            </w:r>
            <w:r>
              <w:rPr>
                <w:rFonts w:hint="eastAsia"/>
                <w:color w:val="000000" w:themeColor="text1"/>
                <w:sz w:val="24"/>
                <w:highlight w:val="none"/>
                <w:u w:val="single"/>
                <w:lang w:val="en-US" w:eastAsia="zh-CN"/>
                <w14:textFill>
                  <w14:solidFill>
                    <w14:schemeClr w14:val="tx1"/>
                  </w14:solidFill>
                </w14:textFill>
              </w:rPr>
              <w:t>中标通知书</w:t>
            </w:r>
            <w:r>
              <w:rPr>
                <w:rFonts w:hint="eastAsia"/>
                <w:color w:val="000000" w:themeColor="text1"/>
                <w:sz w:val="24"/>
                <w:highlight w:val="none"/>
                <w:u w:val="single"/>
                <w14:textFill>
                  <w14:solidFill>
                    <w14:schemeClr w14:val="tx1"/>
                  </w14:solidFill>
                </w14:textFill>
              </w:rPr>
              <w:t>时一次性支付给招标代理单位，投标单位在报价时应综合考虑。</w:t>
            </w:r>
          </w:p>
        </w:tc>
      </w:tr>
    </w:tbl>
    <w:p w14:paraId="4BE70475">
      <w:pPr>
        <w:pStyle w:val="438"/>
        <w:rPr>
          <w:color w:val="000000" w:themeColor="text1"/>
          <w:highlight w:val="none"/>
          <w14:textFill>
            <w14:solidFill>
              <w14:schemeClr w14:val="tx1"/>
            </w14:solidFill>
          </w14:textFill>
        </w:rPr>
        <w:sectPr>
          <w:footerReference r:id="rId11" w:type="first"/>
          <w:footerReference r:id="rId10" w:type="default"/>
          <w:pgSz w:w="11907" w:h="16840"/>
          <w:pgMar w:top="1418" w:right="1134" w:bottom="1418" w:left="1134" w:header="851" w:footer="851" w:gutter="0"/>
          <w:pgNumType w:start="1"/>
          <w:cols w:space="1701" w:num="1"/>
          <w:titlePg/>
          <w:docGrid w:linePitch="360" w:charSpace="0"/>
        </w:sectPr>
      </w:pPr>
    </w:p>
    <w:p w14:paraId="01A6CDEF">
      <w:pPr>
        <w:jc w:val="center"/>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供应商须知</w:t>
      </w:r>
    </w:p>
    <w:p w14:paraId="40B4EFB2">
      <w:pPr>
        <w:pStyle w:val="186"/>
        <w:tabs>
          <w:tab w:val="center" w:pos="4592"/>
          <w:tab w:val="left" w:pos="7860"/>
        </w:tabs>
        <w:spacing w:before="0" w:line="360" w:lineRule="auto"/>
        <w:jc w:val="left"/>
        <w:rPr>
          <w:rFonts w:ascii="Times New Roman" w:hAnsi="Times New Roman" w:eastAsia="宋体"/>
          <w:color w:val="000000" w:themeColor="text1"/>
          <w:sz w:val="28"/>
          <w:highlight w:val="none"/>
          <w14:textFill>
            <w14:solidFill>
              <w14:schemeClr w14:val="tx1"/>
            </w14:solidFill>
          </w14:textFill>
        </w:rPr>
      </w:pPr>
      <w:bookmarkStart w:id="71" w:name="_Toc520356143"/>
      <w:bookmarkStart w:id="72" w:name="_Toc127151518"/>
      <w:r>
        <w:rPr>
          <w:rFonts w:ascii="Times New Roman" w:hAnsi="Times New Roman" w:eastAsia="宋体"/>
          <w:color w:val="000000" w:themeColor="text1"/>
          <w:sz w:val="28"/>
          <w:highlight w:val="none"/>
          <w14:textFill>
            <w14:solidFill>
              <w14:schemeClr w14:val="tx1"/>
            </w14:solidFill>
          </w14:textFill>
        </w:rPr>
        <w:tab/>
      </w:r>
      <w:bookmarkStart w:id="73" w:name="_Toc226965791"/>
      <w:bookmarkStart w:id="74" w:name="_Toc150480756"/>
      <w:bookmarkStart w:id="75" w:name="_Toc195842883"/>
      <w:bookmarkStart w:id="76" w:name="_Toc150774618"/>
      <w:bookmarkStart w:id="77" w:name="_Toc264969208"/>
      <w:bookmarkStart w:id="78" w:name="_Toc150509269"/>
      <w:bookmarkStart w:id="79" w:name="_Toc151190145"/>
      <w:bookmarkStart w:id="80" w:name="_Toc151193616"/>
      <w:bookmarkStart w:id="81" w:name="_Toc151193832"/>
      <w:bookmarkStart w:id="82" w:name="_Toc151193906"/>
      <w:bookmarkStart w:id="83" w:name="_Toc226337214"/>
      <w:bookmarkStart w:id="84" w:name="_Toc151193760"/>
      <w:bookmarkStart w:id="85" w:name="_Toc150774723"/>
      <w:bookmarkStart w:id="86" w:name="_Toc226965708"/>
      <w:bookmarkStart w:id="87" w:name="_Toc142311020"/>
      <w:bookmarkStart w:id="88" w:name="_Toc226309762"/>
      <w:bookmarkStart w:id="89" w:name="_Toc151193688"/>
      <w:bookmarkStart w:id="90" w:name="_Toc305158786"/>
      <w:bookmarkStart w:id="91" w:name="_Toc305158860"/>
      <w:bookmarkStart w:id="92" w:name="_Toc265228356"/>
      <w:r>
        <w:rPr>
          <w:rFonts w:ascii="Times New Roman" w:hAnsi="Times New Roman" w:eastAsia="宋体"/>
          <w:color w:val="000000" w:themeColor="text1"/>
          <w:sz w:val="28"/>
          <w:highlight w:val="none"/>
          <w14:textFill>
            <w14:solidFill>
              <w14:schemeClr w14:val="tx1"/>
            </w14:solidFill>
          </w14:textFill>
        </w:rPr>
        <w:t>一   说  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ascii="Times New Roman" w:hAnsi="Times New Roman" w:eastAsia="宋体"/>
          <w:color w:val="000000" w:themeColor="text1"/>
          <w:sz w:val="28"/>
          <w:highlight w:val="none"/>
          <w14:textFill>
            <w14:solidFill>
              <w14:schemeClr w14:val="tx1"/>
            </w14:solidFill>
          </w14:textFill>
        </w:rPr>
        <w:tab/>
      </w:r>
    </w:p>
    <w:p w14:paraId="166F2493">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93" w:name="_Toc305158787"/>
      <w:bookmarkStart w:id="94" w:name="_Toc265228357"/>
      <w:bookmarkStart w:id="95" w:name="_Toc305158861"/>
      <w:bookmarkStart w:id="96" w:name="_Toc264969209"/>
      <w:r>
        <w:rPr>
          <w:color w:val="000000" w:themeColor="text1"/>
          <w:sz w:val="24"/>
          <w:highlight w:val="none"/>
          <w14:textFill>
            <w14:solidFill>
              <w14:schemeClr w14:val="tx1"/>
            </w14:solidFill>
          </w14:textFill>
        </w:rPr>
        <w:t>采购人、采购代理机构、供应商</w:t>
      </w:r>
      <w:bookmarkEnd w:id="93"/>
      <w:bookmarkEnd w:id="94"/>
      <w:bookmarkEnd w:id="95"/>
      <w:bookmarkEnd w:id="96"/>
      <w:r>
        <w:rPr>
          <w:color w:val="000000" w:themeColor="text1"/>
          <w:sz w:val="24"/>
          <w:highlight w:val="none"/>
          <w14:textFill>
            <w14:solidFill>
              <w14:schemeClr w14:val="tx1"/>
            </w14:solidFill>
          </w14:textFill>
        </w:rPr>
        <w:t>、联合体</w:t>
      </w:r>
    </w:p>
    <w:p w14:paraId="3845F202">
      <w:pPr>
        <w:numPr>
          <w:ilvl w:val="1"/>
          <w:numId w:val="9"/>
        </w:numPr>
        <w:tabs>
          <w:tab w:val="left" w:pos="1080"/>
          <w:tab w:val="left" w:pos="2014"/>
          <w:tab w:val="left" w:pos="5521"/>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采购人、采购代理机构：指依法进行政府采购的国家机关、事业单位、团体组织，及其委托的采购代理机构。本项目采购人、采购代理机构见第一章《采购邀请》。</w:t>
      </w:r>
    </w:p>
    <w:p w14:paraId="6DF68038">
      <w:pPr>
        <w:numPr>
          <w:ilvl w:val="1"/>
          <w:numId w:val="9"/>
        </w:numPr>
        <w:tabs>
          <w:tab w:val="left" w:pos="1080"/>
          <w:tab w:val="left" w:pos="2014"/>
          <w:tab w:val="left" w:pos="5521"/>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供应商（也称“申请人”）：指向采购人提供货物、工程或者服务的法人、其他组织或者自然人。</w:t>
      </w:r>
    </w:p>
    <w:p w14:paraId="2702B85E">
      <w:pPr>
        <w:numPr>
          <w:ilvl w:val="1"/>
          <w:numId w:val="9"/>
        </w:numPr>
        <w:tabs>
          <w:tab w:val="left" w:pos="1080"/>
          <w:tab w:val="left" w:pos="2014"/>
          <w:tab w:val="left" w:pos="5521"/>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联合体：指两个以上的自然人、法人或者其他组织组成一个联合体，以一个供应商的身份共同参加政府采购。</w:t>
      </w:r>
    </w:p>
    <w:p w14:paraId="6EEAB770">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97" w:name="_Toc150774620"/>
      <w:bookmarkStart w:id="98" w:name="_Toc127151520"/>
      <w:bookmarkStart w:id="99" w:name="_Toc305158862"/>
      <w:bookmarkStart w:id="100" w:name="_Toc151193834"/>
      <w:bookmarkStart w:id="101" w:name="_Toc265228358"/>
      <w:bookmarkStart w:id="102" w:name="_Toc149720813"/>
      <w:bookmarkStart w:id="103" w:name="_Toc164608634"/>
      <w:bookmarkStart w:id="104" w:name="_Toc226965793"/>
      <w:bookmarkStart w:id="105" w:name="_Toc164229361"/>
      <w:bookmarkStart w:id="106" w:name="_Toc151193690"/>
      <w:bookmarkStart w:id="107" w:name="_Toc195842885"/>
      <w:bookmarkStart w:id="108" w:name="_Toc164351614"/>
      <w:bookmarkStart w:id="109" w:name="_Toc164229215"/>
      <w:bookmarkStart w:id="110" w:name="_Toc127151721"/>
      <w:bookmarkStart w:id="111" w:name="_Toc150774725"/>
      <w:bookmarkStart w:id="112" w:name="_Toc127161434"/>
      <w:bookmarkStart w:id="113" w:name="_Toc151193618"/>
      <w:bookmarkStart w:id="114" w:name="_Toc226965710"/>
      <w:bookmarkStart w:id="115" w:name="_Toc164608789"/>
      <w:bookmarkStart w:id="116" w:name="_Toc151193762"/>
      <w:bookmarkStart w:id="117" w:name="_Toc150480758"/>
      <w:bookmarkStart w:id="118" w:name="_Toc142311022"/>
      <w:bookmarkStart w:id="119" w:name="_Toc226309764"/>
      <w:bookmarkStart w:id="120" w:name="_Toc150509271"/>
      <w:bookmarkStart w:id="121" w:name="_Toc151190147"/>
      <w:bookmarkStart w:id="122" w:name="_Toc264969210"/>
      <w:bookmarkStart w:id="123" w:name="_Toc226337216"/>
      <w:bookmarkStart w:id="124" w:name="_Toc305158788"/>
      <w:bookmarkStart w:id="125" w:name="_Toc151193908"/>
      <w:r>
        <w:rPr>
          <w:color w:val="000000" w:themeColor="text1"/>
          <w:sz w:val="24"/>
          <w:highlight w:val="none"/>
          <w14:textFill>
            <w14:solidFill>
              <w14:schemeClr w14:val="tx1"/>
            </w14:solidFill>
          </w14:textFill>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color w:val="000000" w:themeColor="text1"/>
          <w:sz w:val="24"/>
          <w:highlight w:val="none"/>
          <w14:textFill>
            <w14:solidFill>
              <w14:schemeClr w14:val="tx1"/>
            </w14:solidFill>
          </w14:textFill>
        </w:rPr>
        <w:t>、项目属性、科研仪器设备采购</w:t>
      </w:r>
    </w:p>
    <w:p w14:paraId="647AE59C">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资金来源为财政性资金和/或本项目采购中无法与财政性资金分割的非财政性资金。</w:t>
      </w:r>
    </w:p>
    <w:p w14:paraId="327186BE">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项目属性见《供应商须知资料表》。</w:t>
      </w:r>
    </w:p>
    <w:p w14:paraId="6DCAC147">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是否属于科研仪器设备采购见《供应商须知资料表》。</w:t>
      </w:r>
    </w:p>
    <w:p w14:paraId="71CE9292">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现场考察、磋商前答疑会</w:t>
      </w:r>
    </w:p>
    <w:p w14:paraId="7C09F673">
      <w:pPr>
        <w:numPr>
          <w:ilvl w:val="1"/>
          <w:numId w:val="9"/>
        </w:numPr>
        <w:tabs>
          <w:tab w:val="left" w:pos="1080"/>
          <w:tab w:val="left" w:pos="2014"/>
        </w:tabs>
        <w:spacing w:line="360" w:lineRule="auto"/>
        <w:ind w:left="1080" w:hanging="720"/>
        <w:rPr>
          <w:color w:val="000000" w:themeColor="text1"/>
          <w:sz w:val="28"/>
          <w:highlight w:val="none"/>
          <w14:textFill>
            <w14:solidFill>
              <w14:schemeClr w14:val="tx1"/>
            </w14:solidFill>
          </w14:textFill>
        </w:rPr>
      </w:pPr>
      <w:r>
        <w:rPr>
          <w:color w:val="000000" w:themeColor="text1"/>
          <w:sz w:val="24"/>
          <w:highlight w:val="none"/>
          <w14:textFill>
            <w14:solidFill>
              <w14:schemeClr w14:val="tx1"/>
            </w14:solidFill>
          </w14:textFill>
        </w:rPr>
        <w:t>若《供应商须知资料表》中规定了组织现场考察、召开磋商前答疑会，则供应商应按要求在规定的时间和地点参加。</w:t>
      </w:r>
      <w:bookmarkStart w:id="126" w:name="_Toc226309766"/>
      <w:bookmarkStart w:id="127" w:name="_Toc127151522"/>
      <w:bookmarkStart w:id="128" w:name="_Toc151193692"/>
      <w:bookmarkStart w:id="129" w:name="_Toc150509273"/>
      <w:bookmarkStart w:id="130" w:name="_Toc142311024"/>
      <w:bookmarkStart w:id="131" w:name="_Toc151193910"/>
      <w:bookmarkStart w:id="132" w:name="_Toc151193620"/>
      <w:bookmarkStart w:id="133" w:name="_Toc226965712"/>
      <w:bookmarkStart w:id="134" w:name="_Toc151193764"/>
      <w:bookmarkStart w:id="135" w:name="_Toc151193836"/>
      <w:bookmarkStart w:id="136" w:name="_Toc265228360"/>
      <w:bookmarkStart w:id="137" w:name="_Toc305158790"/>
      <w:bookmarkStart w:id="138" w:name="_Toc520356146"/>
      <w:bookmarkStart w:id="139" w:name="_Toc151190149"/>
      <w:bookmarkStart w:id="140" w:name="_Toc226965795"/>
      <w:bookmarkStart w:id="141" w:name="_Toc150774727"/>
      <w:bookmarkStart w:id="142" w:name="_Toc264969212"/>
      <w:bookmarkStart w:id="143" w:name="_Toc226337218"/>
      <w:bookmarkStart w:id="144" w:name="_Toc150480760"/>
      <w:bookmarkStart w:id="145" w:name="_Toc195842887"/>
      <w:bookmarkStart w:id="146" w:name="_Toc150774622"/>
      <w:bookmarkStart w:id="147" w:name="_Toc305158864"/>
    </w:p>
    <w:p w14:paraId="13B8ED66">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由于未参加现场考察或磋商前答疑会而导致对项目实际情况不了解，影响响应文件编制、报价准确性、综合因素响应不全面等问题的，由供应商自行承担不利评审后果。</w:t>
      </w:r>
    </w:p>
    <w:p w14:paraId="5701F494">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政府采购政策（包括但不限于下列具体政策要求）</w:t>
      </w:r>
    </w:p>
    <w:p w14:paraId="3FC986C2">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进口产品</w:t>
      </w:r>
    </w:p>
    <w:p w14:paraId="479DF888">
      <w:pPr>
        <w:numPr>
          <w:ilvl w:val="2"/>
          <w:numId w:val="9"/>
        </w:numPr>
        <w:tabs>
          <w:tab w:val="left" w:pos="2014"/>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B6D5D57">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中小企业、监狱企业及残疾人福利性单位</w:t>
      </w:r>
    </w:p>
    <w:p w14:paraId="4E231CEC">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中小企业定义：</w:t>
      </w:r>
    </w:p>
    <w:p w14:paraId="0FBD6280">
      <w:pPr>
        <w:pStyle w:val="294"/>
        <w:numPr>
          <w:ilvl w:val="0"/>
          <w:numId w:val="10"/>
        </w:numPr>
        <w:tabs>
          <w:tab w:val="left" w:pos="1980"/>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130108C2">
      <w:pPr>
        <w:pStyle w:val="294"/>
        <w:numPr>
          <w:ilvl w:val="0"/>
          <w:numId w:val="10"/>
        </w:numPr>
        <w:tabs>
          <w:tab w:val="left" w:pos="1980"/>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50CE1962">
      <w:pPr>
        <w:pStyle w:val="294"/>
        <w:numPr>
          <w:ilvl w:val="0"/>
          <w:numId w:val="10"/>
        </w:numPr>
        <w:tabs>
          <w:tab w:val="left" w:pos="1980"/>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5F64F896">
      <w:pPr>
        <w:pStyle w:val="294"/>
        <w:numPr>
          <w:ilvl w:val="0"/>
          <w:numId w:val="10"/>
        </w:numPr>
        <w:tabs>
          <w:tab w:val="left" w:pos="1980"/>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3386CBE0">
      <w:pPr>
        <w:pStyle w:val="294"/>
        <w:numPr>
          <w:ilvl w:val="1"/>
          <w:numId w:val="10"/>
        </w:numPr>
        <w:tabs>
          <w:tab w:val="left" w:pos="1980"/>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060DFF19">
      <w:pPr>
        <w:pStyle w:val="294"/>
        <w:numPr>
          <w:ilvl w:val="1"/>
          <w:numId w:val="10"/>
        </w:numPr>
        <w:tabs>
          <w:tab w:val="left" w:pos="1980"/>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00A0B98B">
      <w:pPr>
        <w:pStyle w:val="294"/>
        <w:numPr>
          <w:ilvl w:val="2"/>
          <w:numId w:val="10"/>
        </w:numPr>
        <w:tabs>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1C1FBD9F">
      <w:pPr>
        <w:numPr>
          <w:ilvl w:val="3"/>
          <w:numId w:val="10"/>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6A23690">
      <w:pPr>
        <w:numPr>
          <w:ilvl w:val="3"/>
          <w:numId w:val="10"/>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供应商提供的货物、工程或者服务符合下列情形的，享受中小企业扶持政策：</w:t>
      </w:r>
    </w:p>
    <w:p w14:paraId="232E783E">
      <w:pPr>
        <w:tabs>
          <w:tab w:val="left" w:pos="1980"/>
        </w:tabs>
        <w:spacing w:line="360" w:lineRule="auto"/>
        <w:ind w:left="28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（1）在货物采购项目中，货物由中小企业制造，即货物由中小企业生产且使用该中小企业商号或者注册商标；</w:t>
      </w:r>
    </w:p>
    <w:p w14:paraId="07DF9DE2">
      <w:pPr>
        <w:tabs>
          <w:tab w:val="left" w:pos="1980"/>
        </w:tabs>
        <w:spacing w:line="360" w:lineRule="auto"/>
        <w:ind w:left="28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（2）在工程采购项目中，工程由中小企业承建，即工程施工单位为中小企业；</w:t>
      </w:r>
    </w:p>
    <w:p w14:paraId="64C64F6B">
      <w:pPr>
        <w:tabs>
          <w:tab w:val="left" w:pos="1980"/>
        </w:tabs>
        <w:spacing w:line="360" w:lineRule="auto"/>
        <w:ind w:left="28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（3）在服务采购项目中，服务由中小企业承接，即提供服务的人员为中小企业依照《中华人民共和国劳动合同法》订立劳动合同的从业人员。</w:t>
      </w:r>
    </w:p>
    <w:p w14:paraId="5EA35303">
      <w:pPr>
        <w:numPr>
          <w:ilvl w:val="3"/>
          <w:numId w:val="10"/>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在货物采购项目中，供应商提供的货物既有中小企业制造货物，也有大型企业制造货物的，不享受中小企业扶持政策。</w:t>
      </w:r>
    </w:p>
    <w:p w14:paraId="4D46A7A9">
      <w:pPr>
        <w:numPr>
          <w:ilvl w:val="3"/>
          <w:numId w:val="10"/>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以联合体形式参加政府采购活动，联合体各方均为中小企业的，联合体视同中小企业。其中，联合体各方均为小微企业的，联合体视同小微企业。</w:t>
      </w:r>
    </w:p>
    <w:p w14:paraId="78206B34">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210C563">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残疾人福利单位定义：享受政府采购支持政策的残疾人福利性单位应当同时满足以下条件：</w:t>
      </w:r>
    </w:p>
    <w:p w14:paraId="0EB523F9">
      <w:pPr>
        <w:pStyle w:val="294"/>
        <w:numPr>
          <w:ilvl w:val="2"/>
          <w:numId w:val="10"/>
        </w:numPr>
        <w:tabs>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23B5864A">
      <w:pPr>
        <w:pStyle w:val="294"/>
        <w:numPr>
          <w:ilvl w:val="2"/>
          <w:numId w:val="10"/>
        </w:numPr>
        <w:tabs>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12843886">
      <w:pPr>
        <w:numPr>
          <w:ilvl w:val="3"/>
          <w:numId w:val="10"/>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安置的残疾人占本单位在职职工人数的比例不低于25%（含25%），并且安置的残疾人人数不少于10 人（含10 人）；</w:t>
      </w:r>
    </w:p>
    <w:p w14:paraId="1B87FC08">
      <w:pPr>
        <w:numPr>
          <w:ilvl w:val="3"/>
          <w:numId w:val="10"/>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依法与安置的每位残疾人签订了一年以上（含一年）的劳动合同或服务协议；</w:t>
      </w:r>
    </w:p>
    <w:p w14:paraId="0CFA268C">
      <w:pPr>
        <w:numPr>
          <w:ilvl w:val="3"/>
          <w:numId w:val="10"/>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为安置的每位残疾人按月足额缴纳了基本养老保险、基本医疗保险、失业保险、工伤保险和生育保险等社会保险费；</w:t>
      </w:r>
    </w:p>
    <w:p w14:paraId="2E10E515">
      <w:pPr>
        <w:numPr>
          <w:ilvl w:val="3"/>
          <w:numId w:val="10"/>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通过银行等金融机构向安置的每位残疾人，按月支付了不低于单位所在区县适用的经省级人民政府批准的月最低工资标准的工资；</w:t>
      </w:r>
    </w:p>
    <w:p w14:paraId="6FBE0018">
      <w:pPr>
        <w:numPr>
          <w:ilvl w:val="3"/>
          <w:numId w:val="10"/>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提供本单位制造的货物、承担的工程或者服务（以下简称产品），或者提供其他残疾人福利性单位制造的货物（不包括使用非残疾人福利性单位注册商标的货物）；</w:t>
      </w:r>
    </w:p>
    <w:p w14:paraId="11A7A867">
      <w:pPr>
        <w:numPr>
          <w:ilvl w:val="3"/>
          <w:numId w:val="10"/>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7844129">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本项目是否专门面向中小企业预留采购份额见第一章《采购邀请》。</w:t>
      </w:r>
    </w:p>
    <w:p w14:paraId="71594742">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采购标的对应的中小企业划分标准所属行业见《供应商须知资料表》。</w:t>
      </w:r>
    </w:p>
    <w:p w14:paraId="4D92ADAE">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小微企业价格评审优惠的政策调整：见第三章《评审方法和评审标准》。</w:t>
      </w:r>
    </w:p>
    <w:p w14:paraId="42B63B1D">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政府采购节能产品、环境标志产品</w:t>
      </w:r>
    </w:p>
    <w:p w14:paraId="2D4DF8AD">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CE55331">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BD3C9D2">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如本项目采购产品属于实施政府强制采购品目清单范围的节能产品，则供应商所报产品必须获得国家确定的认证机构出具的、处于有效期之内的节能产品认证证书，否则</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4DB3294E">
      <w:pPr>
        <w:numPr>
          <w:ilvl w:val="2"/>
          <w:numId w:val="9"/>
        </w:numPr>
        <w:spacing w:line="360" w:lineRule="auto"/>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非政府强制采购的节能产品或环境标志产品，依据品目清单和认证证书实施政府优先采购。优先采购的具体规定见第三章《评审方法和评审标准》（如涉及）。</w:t>
      </w:r>
    </w:p>
    <w:p w14:paraId="6AF26CF4">
      <w:pPr>
        <w:numPr>
          <w:ilvl w:val="2"/>
          <w:numId w:val="9"/>
        </w:numPr>
        <w:tabs>
          <w:tab w:val="left" w:pos="2014"/>
        </w:tabs>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依据</w:t>
      </w:r>
      <w:r>
        <w:rPr>
          <w:color w:val="000000" w:themeColor="text1"/>
          <w:sz w:val="24"/>
          <w:highlight w:val="none"/>
          <w14:textFill>
            <w14:solidFill>
              <w14:schemeClr w14:val="tx1"/>
            </w14:solidFill>
          </w14:textFill>
        </w:rPr>
        <w:t>《关于印发〈商品包装政府采购需求标准（试行）〉、〈快递包装政府采购需求标准（试行）〉的通知》（财办库〔2020〕123号）</w:t>
      </w:r>
      <w:r>
        <w:rPr>
          <w:rFonts w:hint="eastAsia"/>
          <w:color w:val="000000" w:themeColor="text1"/>
          <w:sz w:val="24"/>
          <w:highlight w:val="none"/>
          <w14:textFill>
            <w14:solidFill>
              <w14:schemeClr w14:val="tx1"/>
            </w14:solidFill>
          </w14:textFill>
        </w:rPr>
        <w:t>文件</w:t>
      </w:r>
      <w:r>
        <w:rPr>
          <w:color w:val="000000" w:themeColor="text1"/>
          <w:sz w:val="24"/>
          <w:highlight w:val="none"/>
          <w14:textFill>
            <w14:solidFill>
              <w14:schemeClr w14:val="tx1"/>
            </w14:solidFill>
          </w14:textFill>
        </w:rPr>
        <w:t>精神</w:t>
      </w:r>
      <w:r>
        <w:rPr>
          <w:rFonts w:hint="eastAsia"/>
          <w:color w:val="000000" w:themeColor="text1"/>
          <w:sz w:val="24"/>
          <w:highlight w:val="none"/>
          <w14:textFill>
            <w14:solidFill>
              <w14:schemeClr w14:val="tx1"/>
            </w14:solidFill>
          </w14:textFill>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19A32821">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支持乡村产业振兴管理</w:t>
      </w:r>
    </w:p>
    <w:p w14:paraId="023AD017">
      <w:pPr>
        <w:numPr>
          <w:ilvl w:val="2"/>
          <w:numId w:val="9"/>
        </w:numPr>
        <w:tabs>
          <w:tab w:val="left" w:pos="2014"/>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为落实《关于运用政府采购政策支持乡村产业振兴的通知》（财库〔2021〕19号）有关要求，做好支持脱贫攻坚工作，本项目采购活动中对于支持乡村振兴管理的相关要求见第四章《采购需求》（如涉及）。</w:t>
      </w:r>
    </w:p>
    <w:p w14:paraId="364F1E85">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正版软件</w:t>
      </w:r>
    </w:p>
    <w:p w14:paraId="0F71FE8B">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7404BE1F">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3499AE46">
      <w:pPr>
        <w:numPr>
          <w:ilvl w:val="1"/>
          <w:numId w:val="9"/>
        </w:numPr>
        <w:tabs>
          <w:tab w:val="left" w:pos="1080"/>
          <w:tab w:val="left" w:pos="2014"/>
        </w:tabs>
        <w:spacing w:line="360" w:lineRule="auto"/>
        <w:ind w:left="1080" w:hanging="72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政府采购创新产品政策</w:t>
      </w:r>
    </w:p>
    <w:p w14:paraId="61445777">
      <w:pPr>
        <w:numPr>
          <w:ilvl w:val="2"/>
          <w:numId w:val="9"/>
        </w:numPr>
        <w:tabs>
          <w:tab w:val="left" w:pos="2014"/>
        </w:tabs>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52149B55">
      <w:pPr>
        <w:numPr>
          <w:ilvl w:val="1"/>
          <w:numId w:val="9"/>
        </w:numPr>
        <w:tabs>
          <w:tab w:val="left" w:pos="1080"/>
          <w:tab w:val="left" w:pos="2014"/>
        </w:tabs>
        <w:spacing w:line="360" w:lineRule="auto"/>
        <w:ind w:left="1080" w:hanging="720"/>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绿色采购政策</w:t>
      </w:r>
    </w:p>
    <w:p w14:paraId="4977CC73">
      <w:pPr>
        <w:numPr>
          <w:ilvl w:val="2"/>
          <w:numId w:val="9"/>
        </w:numPr>
        <w:tabs>
          <w:tab w:val="left" w:pos="2014"/>
        </w:tabs>
        <w:spacing w:line="360" w:lineRule="auto"/>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 绿色数据中心政策 </w:t>
      </w:r>
    </w:p>
    <w:p w14:paraId="4DF14621">
      <w:pPr>
        <w:numPr>
          <w:ilvl w:val="0"/>
          <w:numId w:val="0"/>
        </w:numPr>
        <w:tabs>
          <w:tab w:val="left" w:pos="2014"/>
        </w:tabs>
        <w:spacing w:line="360" w:lineRule="auto"/>
        <w:ind w:left="1080"/>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E13D53B">
      <w:pPr>
        <w:numPr>
          <w:ilvl w:val="2"/>
          <w:numId w:val="9"/>
        </w:numPr>
        <w:tabs>
          <w:tab w:val="left" w:pos="2014"/>
        </w:tabs>
        <w:spacing w:line="360" w:lineRule="auto"/>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推广应用绿色建材</w:t>
      </w:r>
    </w:p>
    <w:p w14:paraId="0B212507">
      <w:pPr>
        <w:numPr>
          <w:ilvl w:val="0"/>
          <w:numId w:val="0"/>
        </w:numPr>
        <w:tabs>
          <w:tab w:val="left" w:pos="2014"/>
        </w:tabs>
        <w:spacing w:line="360" w:lineRule="auto"/>
        <w:ind w:left="1080"/>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74B29FC5">
      <w:pPr>
        <w:numPr>
          <w:ilvl w:val="2"/>
          <w:numId w:val="9"/>
        </w:numPr>
        <w:tabs>
          <w:tab w:val="left" w:pos="2014"/>
        </w:tabs>
        <w:spacing w:line="360" w:lineRule="auto"/>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优先使用低挥发性有机化合物产品</w:t>
      </w:r>
    </w:p>
    <w:p w14:paraId="1839A45A">
      <w:pPr>
        <w:numPr>
          <w:ilvl w:val="0"/>
          <w:numId w:val="0"/>
        </w:numPr>
        <w:tabs>
          <w:tab w:val="left" w:pos="2014"/>
        </w:tabs>
        <w:spacing w:line="360" w:lineRule="auto"/>
        <w:ind w:left="1080"/>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采购人要落实挥发性有机化合物（VOCs）治理要求，若本项目中涉及涂料、胶黏剂、油墨、清洗剂等挥发性有机物产品的，属于强制性标准的，</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响应人</w:t>
      </w:r>
      <w:r>
        <w:rPr>
          <w:rFonts w:hint="eastAsia" w:ascii="Times New Roman" w:hAnsi="Times New Roman" w:eastAsia="宋体" w:cs="Times New Roman"/>
          <w:color w:val="000000" w:themeColor="text1"/>
          <w:sz w:val="24"/>
          <w:highlight w:val="none"/>
          <w14:textFill>
            <w14:solidFill>
              <w14:schemeClr w14:val="tx1"/>
            </w14:solidFill>
          </w14:textFill>
        </w:rPr>
        <w:t>应当提供符合国家和江苏省相关VOCs 含量限制标准的产品；属于推荐性标准的，应当在采购文件中载明低VOCs的优惠幅度、评审标准等，以体现优先采购。</w:t>
      </w:r>
    </w:p>
    <w:p w14:paraId="598AE128">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响应费用</w:t>
      </w:r>
    </w:p>
    <w:p w14:paraId="5F352AD6">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供应商应自行承担所有与准备和参加磋商有关的费用，无论磋商的结果如何，采购人或采购代理机构在任何情况下均无承担这些费用的义务和责任。</w:t>
      </w:r>
    </w:p>
    <w:p w14:paraId="77A30EFE">
      <w:pPr>
        <w:tabs>
          <w:tab w:val="left" w:pos="1080"/>
        </w:tabs>
        <w:spacing w:line="360" w:lineRule="auto"/>
        <w:ind w:left="1080"/>
        <w:rPr>
          <w:color w:val="000000" w:themeColor="text1"/>
          <w:sz w:val="28"/>
          <w:highlight w:val="none"/>
          <w14:textFill>
            <w14:solidFill>
              <w14:schemeClr w14:val="tx1"/>
            </w14:solidFill>
          </w14:textFill>
        </w:rPr>
      </w:pPr>
      <w:bookmarkStart w:id="148" w:name="_1.8_计量单位"/>
      <w:bookmarkEnd w:id="148"/>
    </w:p>
    <w:p w14:paraId="0A784938">
      <w:pPr>
        <w:pStyle w:val="186"/>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二   竞争性磋商文件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1C2E563E">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149" w:name="_Toc164229218"/>
      <w:bookmarkStart w:id="150" w:name="_Toc264969213"/>
      <w:bookmarkStart w:id="151" w:name="_Toc151193911"/>
      <w:bookmarkStart w:id="152" w:name="_Toc127161437"/>
      <w:bookmarkStart w:id="153" w:name="_Toc150509274"/>
      <w:bookmarkStart w:id="154" w:name="_Toc127151724"/>
      <w:bookmarkStart w:id="155" w:name="_Toc142311025"/>
      <w:bookmarkStart w:id="156" w:name="_Toc164608792"/>
      <w:bookmarkStart w:id="157" w:name="_Toc226965713"/>
      <w:bookmarkStart w:id="158" w:name="_Toc226337219"/>
      <w:bookmarkStart w:id="159" w:name="_Toc149720816"/>
      <w:bookmarkStart w:id="160" w:name="_Toc164351617"/>
      <w:bookmarkStart w:id="161" w:name="_Toc305158865"/>
      <w:bookmarkStart w:id="162" w:name="_Toc150774728"/>
      <w:bookmarkStart w:id="163" w:name="_Toc150774623"/>
      <w:bookmarkStart w:id="164" w:name="_Toc151193621"/>
      <w:bookmarkStart w:id="165" w:name="_Toc151193693"/>
      <w:bookmarkStart w:id="166" w:name="_Toc151193837"/>
      <w:bookmarkStart w:id="167" w:name="_Toc305158791"/>
      <w:bookmarkStart w:id="168" w:name="_Toc226309767"/>
      <w:bookmarkStart w:id="169" w:name="_Toc265228361"/>
      <w:bookmarkStart w:id="170" w:name="_Toc226965796"/>
      <w:bookmarkStart w:id="171" w:name="_Toc164229364"/>
      <w:bookmarkStart w:id="172" w:name="_Toc195842888"/>
      <w:bookmarkStart w:id="173" w:name="_Toc151190150"/>
      <w:bookmarkStart w:id="174" w:name="_Toc164608637"/>
      <w:bookmarkStart w:id="175" w:name="_Toc150480761"/>
      <w:bookmarkStart w:id="176" w:name="_Toc151193765"/>
      <w:bookmarkStart w:id="177" w:name="_Toc127151523"/>
      <w:bookmarkStart w:id="178" w:name="_Toc520356147"/>
      <w:r>
        <w:rPr>
          <w:color w:val="000000" w:themeColor="text1"/>
          <w:sz w:val="24"/>
          <w:highlight w:val="none"/>
          <w14:textFill>
            <w14:solidFill>
              <w14:schemeClr w14:val="tx1"/>
            </w14:solidFill>
          </w14:textFill>
        </w:rPr>
        <w:t>竞争性磋商文件构</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Pr>
          <w:color w:val="000000" w:themeColor="text1"/>
          <w:sz w:val="24"/>
          <w:highlight w:val="none"/>
          <w14:textFill>
            <w14:solidFill>
              <w14:schemeClr w14:val="tx1"/>
            </w14:solidFill>
          </w14:textFill>
        </w:rPr>
        <w:t>成</w:t>
      </w:r>
    </w:p>
    <w:p w14:paraId="36818B25">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竞争性磋商文件包括以下部分：</w:t>
      </w:r>
    </w:p>
    <w:p w14:paraId="5EEF021C">
      <w:pPr>
        <w:numPr>
          <w:ilvl w:val="0"/>
          <w:numId w:val="11"/>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采购邀请</w:t>
      </w:r>
    </w:p>
    <w:p w14:paraId="66E68D79">
      <w:pPr>
        <w:numPr>
          <w:ilvl w:val="0"/>
          <w:numId w:val="11"/>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供应商须知</w:t>
      </w:r>
    </w:p>
    <w:p w14:paraId="7E1D99A7">
      <w:pPr>
        <w:numPr>
          <w:ilvl w:val="0"/>
          <w:numId w:val="11"/>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评审</w:t>
      </w:r>
      <w:r>
        <w:rPr>
          <w:rFonts w:hint="eastAsia"/>
          <w:color w:val="000000" w:themeColor="text1"/>
          <w:sz w:val="24"/>
          <w:highlight w:val="none"/>
          <w14:textFill>
            <w14:solidFill>
              <w14:schemeClr w14:val="tx1"/>
            </w14:solidFill>
          </w14:textFill>
        </w:rPr>
        <w:t>程序、评审</w:t>
      </w:r>
      <w:r>
        <w:rPr>
          <w:color w:val="000000" w:themeColor="text1"/>
          <w:sz w:val="24"/>
          <w:highlight w:val="none"/>
          <w14:textFill>
            <w14:solidFill>
              <w14:schemeClr w14:val="tx1"/>
            </w14:solidFill>
          </w14:textFill>
        </w:rPr>
        <w:t>方法和评审标准</w:t>
      </w:r>
    </w:p>
    <w:p w14:paraId="07B486A7">
      <w:pPr>
        <w:numPr>
          <w:ilvl w:val="0"/>
          <w:numId w:val="11"/>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采购需求</w:t>
      </w:r>
    </w:p>
    <w:p w14:paraId="10B1B9B5">
      <w:pPr>
        <w:numPr>
          <w:ilvl w:val="0"/>
          <w:numId w:val="11"/>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合同草案条款</w:t>
      </w:r>
    </w:p>
    <w:p w14:paraId="2963C633">
      <w:pPr>
        <w:numPr>
          <w:ilvl w:val="0"/>
          <w:numId w:val="11"/>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响应文件格式</w:t>
      </w:r>
    </w:p>
    <w:p w14:paraId="5591E29B">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供应商应认真阅读竞争性磋商文件的全部内容。供应商应按照竞争性磋商文件要求提交响应文件并保证所提供的全部资料的真实性，并对竞争性磋商文件做出实质性响应，否则</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5D8A10B5">
      <w:pPr>
        <w:numPr>
          <w:ilvl w:val="0"/>
          <w:numId w:val="9"/>
        </w:numPr>
        <w:tabs>
          <w:tab w:val="left" w:pos="1080"/>
          <w:tab w:val="left" w:pos="2014"/>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对竞争性磋商文件的澄清或修改</w:t>
      </w:r>
    </w:p>
    <w:p w14:paraId="6BD708AC">
      <w:pPr>
        <w:numPr>
          <w:ilvl w:val="1"/>
          <w:numId w:val="9"/>
        </w:numPr>
        <w:tabs>
          <w:tab w:val="left" w:pos="1080"/>
          <w:tab w:val="left" w:pos="1561"/>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采购人或采购代理机构对已发出的竞争性磋商文件进行必要澄清或者修改的，将在原公告发布媒体上以</w:t>
      </w:r>
      <w:r>
        <w:rPr>
          <w:rFonts w:hint="eastAsia"/>
          <w:color w:val="000000" w:themeColor="text1"/>
          <w:sz w:val="24"/>
          <w:highlight w:val="none"/>
          <w14:textFill>
            <w14:solidFill>
              <w14:schemeClr w14:val="tx1"/>
            </w14:solidFill>
          </w14:textFill>
        </w:rPr>
        <w:t>发布</w:t>
      </w:r>
      <w:r>
        <w:rPr>
          <w:color w:val="000000" w:themeColor="text1"/>
          <w:sz w:val="24"/>
          <w:highlight w:val="none"/>
          <w14:textFill>
            <w14:solidFill>
              <w14:schemeClr w14:val="tx1"/>
            </w14:solidFill>
          </w14:textFill>
        </w:rPr>
        <w:t>更正公告</w:t>
      </w:r>
      <w:r>
        <w:rPr>
          <w:rFonts w:hint="eastAsia"/>
          <w:color w:val="000000" w:themeColor="text1"/>
          <w:sz w:val="24"/>
          <w:highlight w:val="none"/>
          <w14:textFill>
            <w14:solidFill>
              <w14:schemeClr w14:val="tx1"/>
            </w14:solidFill>
          </w14:textFill>
        </w:rPr>
        <w:t>的</w:t>
      </w:r>
      <w:r>
        <w:rPr>
          <w:color w:val="000000" w:themeColor="text1"/>
          <w:sz w:val="24"/>
          <w:highlight w:val="none"/>
          <w14:textFill>
            <w14:solidFill>
              <w14:schemeClr w14:val="tx1"/>
            </w14:solidFill>
          </w14:textFill>
        </w:rPr>
        <w:t>形式通知所有获取</w:t>
      </w:r>
      <w:r>
        <w:rPr>
          <w:rFonts w:hint="eastAsia"/>
          <w:color w:val="000000" w:themeColor="text1"/>
          <w:sz w:val="24"/>
          <w:highlight w:val="none"/>
          <w14:textFill>
            <w14:solidFill>
              <w14:schemeClr w14:val="tx1"/>
            </w14:solidFill>
          </w14:textFill>
        </w:rPr>
        <w:t>磋商文件</w:t>
      </w:r>
      <w:r>
        <w:rPr>
          <w:color w:val="000000" w:themeColor="text1"/>
          <w:sz w:val="24"/>
          <w:highlight w:val="none"/>
          <w14:textFill>
            <w14:solidFill>
              <w14:schemeClr w14:val="tx1"/>
            </w14:solidFill>
          </w14:textFill>
        </w:rPr>
        <w:t>的</w:t>
      </w:r>
      <w:r>
        <w:rPr>
          <w:rFonts w:hint="eastAsia"/>
          <w:color w:val="000000" w:themeColor="text1"/>
          <w:sz w:val="24"/>
          <w:highlight w:val="none"/>
          <w14:textFill>
            <w14:solidFill>
              <w14:schemeClr w14:val="tx1"/>
            </w14:solidFill>
          </w14:textFill>
        </w:rPr>
        <w:t>供应商。</w:t>
      </w:r>
    </w:p>
    <w:p w14:paraId="6BF4C091">
      <w:pPr>
        <w:numPr>
          <w:ilvl w:val="1"/>
          <w:numId w:val="9"/>
        </w:numPr>
        <w:tabs>
          <w:tab w:val="left" w:pos="1080"/>
          <w:tab w:val="left" w:pos="1561"/>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themeColor="text1"/>
          <w:sz w:val="24"/>
          <w:highlight w:val="none"/>
          <w14:textFill>
            <w14:solidFill>
              <w14:schemeClr w14:val="tx1"/>
            </w14:solidFill>
          </w14:textFill>
        </w:rPr>
        <w:t>5</w:t>
      </w:r>
      <w:r>
        <w:rPr>
          <w:color w:val="000000" w:themeColor="text1"/>
          <w:sz w:val="24"/>
          <w:highlight w:val="none"/>
          <w14:textFill>
            <w14:solidFill>
              <w14:schemeClr w14:val="tx1"/>
            </w14:solidFill>
          </w14:textFill>
        </w:rPr>
        <w:t>日前</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以更正公告形式通知所有获取</w:t>
      </w:r>
      <w:r>
        <w:rPr>
          <w:rFonts w:hint="eastAsia"/>
          <w:color w:val="000000" w:themeColor="text1"/>
          <w:sz w:val="24"/>
          <w:highlight w:val="none"/>
          <w14:textFill>
            <w14:solidFill>
              <w14:schemeClr w14:val="tx1"/>
            </w14:solidFill>
          </w14:textFill>
        </w:rPr>
        <w:t>磋商</w:t>
      </w:r>
      <w:r>
        <w:rPr>
          <w:color w:val="000000" w:themeColor="text1"/>
          <w:sz w:val="24"/>
          <w:highlight w:val="none"/>
          <w14:textFill>
            <w14:solidFill>
              <w14:schemeClr w14:val="tx1"/>
            </w14:solidFill>
          </w14:textFill>
        </w:rPr>
        <w:t>文件的潜在供应商；；不足上述时间的，将顺延提交响应文件的截止时间。</w:t>
      </w:r>
    </w:p>
    <w:p w14:paraId="5336EAEA">
      <w:pPr>
        <w:tabs>
          <w:tab w:val="left" w:pos="1080"/>
          <w:tab w:val="left" w:pos="1561"/>
        </w:tabs>
        <w:spacing w:line="360" w:lineRule="auto"/>
        <w:ind w:left="1080"/>
        <w:rPr>
          <w:color w:val="000000" w:themeColor="text1"/>
          <w:sz w:val="28"/>
          <w:highlight w:val="none"/>
          <w14:textFill>
            <w14:solidFill>
              <w14:schemeClr w14:val="tx1"/>
            </w14:solidFill>
          </w14:textFill>
        </w:rPr>
      </w:pPr>
      <w:bookmarkStart w:id="179" w:name="_Toc516367020"/>
      <w:bookmarkStart w:id="180" w:name="_Toc142311028"/>
      <w:bookmarkStart w:id="181" w:name="_Toc150774731"/>
      <w:bookmarkStart w:id="182" w:name="_Toc226965799"/>
      <w:bookmarkStart w:id="183" w:name="_Toc151193840"/>
      <w:bookmarkStart w:id="184" w:name="_Toc305158794"/>
      <w:bookmarkStart w:id="185" w:name="_Toc151193768"/>
      <w:bookmarkStart w:id="186" w:name="_Toc151190153"/>
      <w:bookmarkStart w:id="187" w:name="_Toc151193624"/>
      <w:bookmarkStart w:id="188" w:name="_Toc305158868"/>
      <w:bookmarkStart w:id="189" w:name="_Toc150774626"/>
      <w:bookmarkStart w:id="190" w:name="_Toc150480764"/>
      <w:bookmarkStart w:id="191" w:name="_Toc151193696"/>
      <w:bookmarkStart w:id="192" w:name="_Toc151193914"/>
      <w:bookmarkStart w:id="193" w:name="_Toc127151526"/>
      <w:bookmarkStart w:id="194" w:name="_Toc520356150"/>
      <w:bookmarkStart w:id="195" w:name="_Toc226965716"/>
      <w:bookmarkStart w:id="196" w:name="_Toc264969216"/>
      <w:bookmarkStart w:id="197" w:name="_Toc265228364"/>
      <w:bookmarkStart w:id="198" w:name="_Toc226309770"/>
      <w:bookmarkStart w:id="199" w:name="_Toc226337222"/>
      <w:bookmarkStart w:id="200" w:name="_Toc150509277"/>
      <w:bookmarkStart w:id="201" w:name="_Toc195842891"/>
    </w:p>
    <w:p w14:paraId="68D777B2">
      <w:pPr>
        <w:pStyle w:val="186"/>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三   响应文件</w:t>
      </w:r>
      <w:bookmarkEnd w:id="179"/>
      <w:r>
        <w:rPr>
          <w:rFonts w:ascii="Times New Roman" w:hAnsi="Times New Roman" w:eastAsia="宋体"/>
          <w:color w:val="000000" w:themeColor="text1"/>
          <w:sz w:val="28"/>
          <w:highlight w:val="none"/>
          <w14:textFill>
            <w14:solidFill>
              <w14:schemeClr w14:val="tx1"/>
            </w14:solidFill>
          </w14:textFill>
        </w:rPr>
        <w:t>的编制</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75F2DA04">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202" w:name="_Toc164608796"/>
      <w:bookmarkStart w:id="203" w:name="_Toc150480765"/>
      <w:bookmarkStart w:id="204" w:name="_Toc151193841"/>
      <w:bookmarkStart w:id="205" w:name="_Toc151193697"/>
      <w:bookmarkStart w:id="206" w:name="_Toc305158869"/>
      <w:bookmarkStart w:id="207" w:name="_Toc226965800"/>
      <w:bookmarkStart w:id="208" w:name="_Toc150774627"/>
      <w:bookmarkStart w:id="209" w:name="_Toc164229368"/>
      <w:bookmarkStart w:id="210" w:name="_Toc150509278"/>
      <w:bookmarkStart w:id="211" w:name="_Toc195842892"/>
      <w:bookmarkStart w:id="212" w:name="_Toc520356151"/>
      <w:bookmarkStart w:id="213" w:name="_Toc127161441"/>
      <w:bookmarkStart w:id="214" w:name="_Toc516367021"/>
      <w:bookmarkStart w:id="215" w:name="_Toc150774732"/>
      <w:bookmarkStart w:id="216" w:name="_Toc226337223"/>
      <w:bookmarkStart w:id="217" w:name="_Toc305158795"/>
      <w:bookmarkStart w:id="218" w:name="_Toc127151527"/>
      <w:bookmarkStart w:id="219" w:name="_Toc142311029"/>
      <w:bookmarkStart w:id="220" w:name="_Toc151193915"/>
      <w:bookmarkStart w:id="221" w:name="_Toc265228365"/>
      <w:bookmarkStart w:id="222" w:name="_Toc226309771"/>
      <w:bookmarkStart w:id="223" w:name="_Toc164608641"/>
      <w:bookmarkStart w:id="224" w:name="_Toc149720820"/>
      <w:bookmarkStart w:id="225" w:name="_Toc151193769"/>
      <w:bookmarkStart w:id="226" w:name="_Toc151190154"/>
      <w:bookmarkStart w:id="227" w:name="_Toc164229222"/>
      <w:bookmarkStart w:id="228" w:name="_Toc264969217"/>
      <w:bookmarkStart w:id="229" w:name="_Toc164351621"/>
      <w:bookmarkStart w:id="230" w:name="_Toc127151728"/>
      <w:bookmarkStart w:id="231" w:name="_Toc226965717"/>
      <w:bookmarkStart w:id="232" w:name="_Toc151193625"/>
      <w:r>
        <w:rPr>
          <w:color w:val="000000" w:themeColor="text1"/>
          <w:sz w:val="24"/>
          <w:highlight w:val="none"/>
          <w14:textFill>
            <w14:solidFill>
              <w14:schemeClr w14:val="tx1"/>
            </w14:solidFill>
          </w14:textFill>
        </w:rPr>
        <w:t>响应范围、竞争性磋商文件中计量单位的使用</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Pr>
          <w:color w:val="000000" w:themeColor="text1"/>
          <w:sz w:val="24"/>
          <w:highlight w:val="none"/>
          <w14:textFill>
            <w14:solidFill>
              <w14:schemeClr w14:val="tx1"/>
            </w14:solidFill>
          </w14:textFill>
        </w:rPr>
        <w:t>及磋商语言</w:t>
      </w:r>
    </w:p>
    <w:p w14:paraId="29C36A26">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62D8CD06">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除竞争性磋商文件有特殊要求外，本项目磋商所使用的计量单位，应采用中华人民共和国法定计量单位。</w:t>
      </w:r>
    </w:p>
    <w:p w14:paraId="488CE4EA">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1A1974CE">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233" w:name="_Ref467306676"/>
      <w:bookmarkStart w:id="234" w:name="_Toc516367022"/>
      <w:bookmarkStart w:id="235" w:name="_Ref467306195"/>
      <w:bookmarkStart w:id="236" w:name="_Toc149720821"/>
      <w:bookmarkStart w:id="237" w:name="_Toc226309772"/>
      <w:bookmarkStart w:id="238" w:name="_Toc151193770"/>
      <w:bookmarkStart w:id="239" w:name="_Toc226965718"/>
      <w:bookmarkStart w:id="240" w:name="_Toc164229223"/>
      <w:bookmarkStart w:id="241" w:name="_Toc264969218"/>
      <w:bookmarkStart w:id="242" w:name="_Toc127151528"/>
      <w:bookmarkStart w:id="243" w:name="_Toc150774733"/>
      <w:bookmarkStart w:id="244" w:name="_Toc164608797"/>
      <w:bookmarkStart w:id="245" w:name="_Toc226965801"/>
      <w:bookmarkStart w:id="246" w:name="_Toc226337224"/>
      <w:bookmarkStart w:id="247" w:name="_Toc142311030"/>
      <w:bookmarkStart w:id="248" w:name="_Toc195842893"/>
      <w:bookmarkStart w:id="249" w:name="_Toc150480766"/>
      <w:bookmarkStart w:id="250" w:name="_Toc164229369"/>
      <w:bookmarkStart w:id="251" w:name="_Toc150509279"/>
      <w:bookmarkStart w:id="252" w:name="_Toc164351622"/>
      <w:bookmarkStart w:id="253" w:name="_Toc151193842"/>
      <w:bookmarkStart w:id="254" w:name="_Toc151193626"/>
      <w:bookmarkStart w:id="255" w:name="_Toc127151729"/>
      <w:bookmarkStart w:id="256" w:name="_Toc151193916"/>
      <w:bookmarkStart w:id="257" w:name="_Toc164608642"/>
      <w:bookmarkStart w:id="258" w:name="_Toc305158796"/>
      <w:bookmarkStart w:id="259" w:name="_Toc265228366"/>
      <w:bookmarkStart w:id="260" w:name="_Toc151193698"/>
      <w:bookmarkStart w:id="261" w:name="_Toc305158870"/>
      <w:bookmarkStart w:id="262" w:name="_Toc127161442"/>
      <w:bookmarkStart w:id="263" w:name="_Toc151190155"/>
      <w:bookmarkStart w:id="264" w:name="_Toc520356152"/>
      <w:bookmarkStart w:id="265" w:name="_Toc150774628"/>
      <w:r>
        <w:rPr>
          <w:color w:val="000000" w:themeColor="text1"/>
          <w:sz w:val="24"/>
          <w:highlight w:val="none"/>
          <w14:textFill>
            <w14:solidFill>
              <w14:schemeClr w14:val="tx1"/>
            </w14:solidFill>
          </w14:textFill>
        </w:rPr>
        <w:t>响应文件</w:t>
      </w:r>
      <w:bookmarkEnd w:id="233"/>
      <w:bookmarkEnd w:id="234"/>
      <w:bookmarkEnd w:id="235"/>
      <w:r>
        <w:rPr>
          <w:color w:val="000000" w:themeColor="text1"/>
          <w:sz w:val="24"/>
          <w:highlight w:val="none"/>
          <w14:textFill>
            <w14:solidFill>
              <w14:schemeClr w14:val="tx1"/>
            </w14:solidFill>
          </w14:textFill>
        </w:rPr>
        <w:t>构成</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14:paraId="1DE7A958">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bookmarkStart w:id="266" w:name="_Ref467052588"/>
      <w:r>
        <w:rPr>
          <w:color w:val="000000" w:themeColor="text1"/>
          <w:sz w:val="24"/>
          <w:highlight w:val="none"/>
          <w14:textFill>
            <w14:solidFill>
              <w14:schemeClr w14:val="tx1"/>
            </w14:solidFill>
          </w14:textFill>
        </w:rPr>
        <w:t>供应商应当按照竞争性磋商文件的要求编制响应文件，并对其提交的响应文件的真实性、合法性承担法律责任。响应文件的部分格式要求，见第六章《响应文件格式》。</w:t>
      </w:r>
    </w:p>
    <w:p w14:paraId="5DD92B2B">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14:textFill>
            <w14:solidFill>
              <w14:schemeClr w14:val="tx1"/>
            </w14:solidFill>
          </w14:textFill>
        </w:rPr>
        <w:t>否则响应无效</w:t>
      </w:r>
      <w:r>
        <w:rPr>
          <w:color w:val="000000" w:themeColor="text1"/>
          <w:sz w:val="24"/>
          <w:highlight w:val="none"/>
          <w14:textFill>
            <w14:solidFill>
              <w14:schemeClr w14:val="tx1"/>
            </w14:solidFill>
          </w14:textFill>
        </w:rPr>
        <w:t>。未标记“实质性格式”的文件和竞争性磋商文件未提供格式的内容，可由供应商自行编写。</w:t>
      </w:r>
    </w:p>
    <w:p w14:paraId="1C45C2CE">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第三章《评审方法和评审标准》中涉及的证明文件。</w:t>
      </w:r>
    </w:p>
    <w:p w14:paraId="1D884008">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470A0443">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供应商认为应附的其他材料。</w:t>
      </w:r>
      <w:bookmarkEnd w:id="266"/>
    </w:p>
    <w:p w14:paraId="3722D12A">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267" w:name="_Toc150774735"/>
      <w:bookmarkStart w:id="268" w:name="_Toc151193918"/>
      <w:bookmarkStart w:id="269" w:name="_Toc164229371"/>
      <w:bookmarkStart w:id="270" w:name="_Toc127151731"/>
      <w:bookmarkStart w:id="271" w:name="_Toc149720823"/>
      <w:bookmarkStart w:id="272" w:name="_Toc164608799"/>
      <w:bookmarkStart w:id="273" w:name="_Toc164608644"/>
      <w:bookmarkStart w:id="274" w:name="_Toc127161444"/>
      <w:bookmarkStart w:id="275" w:name="_Toc151193844"/>
      <w:bookmarkStart w:id="276" w:name="_Toc151193628"/>
      <w:bookmarkStart w:id="277" w:name="_Toc164229225"/>
      <w:bookmarkStart w:id="278" w:name="_Toc142311032"/>
      <w:bookmarkStart w:id="279" w:name="_Toc150509281"/>
      <w:bookmarkStart w:id="280" w:name="_Toc151193700"/>
      <w:bookmarkStart w:id="281" w:name="_Toc164351624"/>
      <w:bookmarkStart w:id="282" w:name="_Toc150774630"/>
      <w:bookmarkStart w:id="283" w:name="_Toc127151530"/>
      <w:bookmarkStart w:id="284" w:name="_Toc151190157"/>
      <w:bookmarkStart w:id="285" w:name="_Toc151193772"/>
      <w:bookmarkStart w:id="286" w:name="_Toc520356155"/>
      <w:bookmarkStart w:id="287" w:name="_Toc150480768"/>
      <w:bookmarkStart w:id="288" w:name="_Toc195842895"/>
      <w:r>
        <w:rPr>
          <w:color w:val="000000" w:themeColor="text1"/>
          <w:sz w:val="24"/>
          <w:highlight w:val="none"/>
          <w14:textFill>
            <w14:solidFill>
              <w14:schemeClr w14:val="tx1"/>
            </w14:solidFill>
          </w14:textFill>
        </w:rPr>
        <w:t>报价</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6E46F155">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所有响应均以人民币报价。</w:t>
      </w:r>
    </w:p>
    <w:p w14:paraId="3266472E">
      <w:pPr>
        <w:numPr>
          <w:ilvl w:val="1"/>
          <w:numId w:val="9"/>
        </w:numPr>
        <w:tabs>
          <w:tab w:val="left" w:pos="10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供应商的报价应包括为完成本项目所发生的一切费用和税费，采购人将不再支付报价以外的任何费用。</w:t>
      </w:r>
      <w:r>
        <w:rPr>
          <w:rFonts w:hint="eastAsia"/>
          <w:color w:val="000000" w:themeColor="text1"/>
          <w:sz w:val="24"/>
          <w:highlight w:val="none"/>
          <w14:textFill>
            <w14:solidFill>
              <w14:schemeClr w14:val="tx1"/>
            </w14:solidFill>
          </w14:textFill>
        </w:rPr>
        <w:t>供应商的报价应包括但不限于下列内容，《供应商须知资料表》中有特殊规定的，从其规定。</w:t>
      </w:r>
    </w:p>
    <w:p w14:paraId="5A144E0A">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2F87BF7E">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按照竞争性磋商文件要求完成本项</w:t>
      </w:r>
      <w:r>
        <w:rPr>
          <w:rFonts w:hint="eastAsia"/>
          <w:color w:val="000000" w:themeColor="text1"/>
          <w:sz w:val="24"/>
          <w:highlight w:val="none"/>
          <w14:textFill>
            <w14:solidFill>
              <w14:schemeClr w14:val="tx1"/>
            </w14:solidFill>
          </w14:textFill>
        </w:rPr>
        <w:t>目的全部相关工程或服务费用。</w:t>
      </w:r>
    </w:p>
    <w:p w14:paraId="7E409071">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采购人不得向供应商索要或者接受其给予的赠品、回扣或者与采购无关的其他商品、服务。</w:t>
      </w:r>
    </w:p>
    <w:p w14:paraId="258BFCA9">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供应商不能提供任何有选择性或可调整的最终报价（竞争性磋商文件另有规定的除外），否则其</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50886903">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磋商保证金</w:t>
      </w:r>
    </w:p>
    <w:p w14:paraId="1CC7C582">
      <w:pPr>
        <w:tabs>
          <w:tab w:val="left" w:pos="360"/>
        </w:tabs>
        <w:spacing w:line="360" w:lineRule="auto"/>
        <w:ind w:firstLine="360"/>
        <w:outlineLvl w:val="1"/>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根据江苏省和常州市的相关文件规定，免收保证金。</w:t>
      </w:r>
    </w:p>
    <w:p w14:paraId="2837DF41">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响应有效期</w:t>
      </w:r>
    </w:p>
    <w:p w14:paraId="445A0BD2">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响应文件应在本竞争性磋商文件《供应商须知资料表》中规定的响应有效期内保持有效，响应有效期少于竞争性磋商文件规定期限的，其</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2DB631DB">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289" w:name="_Toc151193631"/>
      <w:bookmarkStart w:id="290" w:name="_Toc305158801"/>
      <w:bookmarkStart w:id="291" w:name="_Toc164608802"/>
      <w:bookmarkStart w:id="292" w:name="_Toc265228371"/>
      <w:bookmarkStart w:id="293" w:name="_Toc520356158"/>
      <w:bookmarkStart w:id="294" w:name="_Toc164608647"/>
      <w:bookmarkStart w:id="295" w:name="_Toc150480771"/>
      <w:bookmarkStart w:id="296" w:name="_Toc127151533"/>
      <w:bookmarkStart w:id="297" w:name="_Toc226965723"/>
      <w:bookmarkStart w:id="298" w:name="_Toc151193847"/>
      <w:bookmarkStart w:id="299" w:name="_Toc149720826"/>
      <w:bookmarkStart w:id="300" w:name="_Toc127161447"/>
      <w:bookmarkStart w:id="301" w:name="_Toc195842898"/>
      <w:bookmarkStart w:id="302" w:name="_Toc226965806"/>
      <w:bookmarkStart w:id="303" w:name="_Toc151193703"/>
      <w:bookmarkStart w:id="304" w:name="_Toc151193921"/>
      <w:bookmarkStart w:id="305" w:name="_Toc164229228"/>
      <w:bookmarkStart w:id="306" w:name="_Toc151190160"/>
      <w:bookmarkStart w:id="307" w:name="_Toc264969223"/>
      <w:bookmarkStart w:id="308" w:name="_Toc150509284"/>
      <w:bookmarkStart w:id="309" w:name="_Toc164351627"/>
      <w:bookmarkStart w:id="310" w:name="_Toc226309777"/>
      <w:bookmarkStart w:id="311" w:name="_Toc164229374"/>
      <w:bookmarkStart w:id="312" w:name="_Toc150774738"/>
      <w:bookmarkStart w:id="313" w:name="_Toc305158875"/>
      <w:bookmarkStart w:id="314" w:name="_Toc127151734"/>
      <w:bookmarkStart w:id="315" w:name="_Toc150774633"/>
      <w:bookmarkStart w:id="316" w:name="_Toc151193775"/>
      <w:bookmarkStart w:id="317" w:name="_Toc226337229"/>
      <w:bookmarkStart w:id="318" w:name="_Toc142311035"/>
      <w:r>
        <w:rPr>
          <w:color w:val="000000" w:themeColor="text1"/>
          <w:sz w:val="24"/>
          <w:highlight w:val="none"/>
          <w14:textFill>
            <w14:solidFill>
              <w14:schemeClr w14:val="tx1"/>
            </w14:solidFill>
          </w14:textFill>
        </w:rPr>
        <w:t>响应文件的签署</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r>
        <w:rPr>
          <w:color w:val="000000" w:themeColor="text1"/>
          <w:sz w:val="24"/>
          <w:highlight w:val="none"/>
          <w14:textFill>
            <w14:solidFill>
              <w14:schemeClr w14:val="tx1"/>
            </w14:solidFill>
          </w14:textFill>
        </w:rPr>
        <w:t>、盖章</w:t>
      </w:r>
    </w:p>
    <w:p w14:paraId="09FD0614">
      <w:pPr>
        <w:numPr>
          <w:ilvl w:val="1"/>
          <w:numId w:val="9"/>
        </w:numPr>
        <w:tabs>
          <w:tab w:val="left" w:pos="1080"/>
        </w:tabs>
        <w:spacing w:line="360" w:lineRule="auto"/>
        <w:rPr>
          <w:color w:val="000000" w:themeColor="text1"/>
          <w:sz w:val="24"/>
          <w:highlight w:val="none"/>
          <w14:textFill>
            <w14:solidFill>
              <w14:schemeClr w14:val="tx1"/>
            </w14:solidFill>
          </w14:textFill>
        </w:rPr>
      </w:pPr>
      <w:bookmarkStart w:id="319" w:name="_Toc150509285"/>
      <w:bookmarkStart w:id="320" w:name="_Toc151193922"/>
      <w:bookmarkStart w:id="321" w:name="_Toc264969224"/>
      <w:bookmarkStart w:id="322" w:name="_Toc151193704"/>
      <w:bookmarkStart w:id="323" w:name="_Toc150774634"/>
      <w:bookmarkStart w:id="324" w:name="_Toc265228372"/>
      <w:bookmarkStart w:id="325" w:name="_Toc520356159"/>
      <w:bookmarkStart w:id="326" w:name="_Toc226965807"/>
      <w:bookmarkStart w:id="327" w:name="_Toc305158876"/>
      <w:bookmarkStart w:id="328" w:name="_Toc226965724"/>
      <w:bookmarkStart w:id="329" w:name="_Toc151190161"/>
      <w:bookmarkStart w:id="330" w:name="_Toc142311036"/>
      <w:bookmarkStart w:id="331" w:name="_Toc150774739"/>
      <w:bookmarkStart w:id="332" w:name="_Toc151193632"/>
      <w:bookmarkStart w:id="333" w:name="_Toc151193848"/>
      <w:bookmarkStart w:id="334" w:name="_Toc305158802"/>
      <w:bookmarkStart w:id="335" w:name="_Toc151193776"/>
      <w:bookmarkStart w:id="336" w:name="_Toc195842899"/>
      <w:bookmarkStart w:id="337" w:name="_Toc127151534"/>
      <w:bookmarkStart w:id="338" w:name="_Toc226309778"/>
      <w:bookmarkStart w:id="339" w:name="_Toc150480772"/>
      <w:bookmarkStart w:id="340" w:name="_Toc226337230"/>
      <w:r>
        <w:rPr>
          <w:color w:val="000000" w:themeColor="text1"/>
          <w:sz w:val="24"/>
          <w:highlight w:val="none"/>
          <w14:textFill>
            <w14:solidFill>
              <w14:schemeClr w14:val="tx1"/>
            </w14:solidFill>
          </w14:textFill>
        </w:rPr>
        <w:t>竞争性磋商文件要求签字的内容（如授权委托书等），</w:t>
      </w:r>
      <w:r>
        <w:rPr>
          <w:rFonts w:hint="eastAsia"/>
          <w:color w:val="000000" w:themeColor="text1"/>
          <w:sz w:val="24"/>
          <w:highlight w:val="none"/>
          <w14:textFill>
            <w14:solidFill>
              <w14:schemeClr w14:val="tx1"/>
            </w14:solidFill>
          </w14:textFill>
        </w:rPr>
        <w:t>可以使用电子签章或使用原件的电子件（电子件指扫描件、照片等形式电子文件）；要求</w:t>
      </w:r>
      <w:r>
        <w:rPr>
          <w:color w:val="000000" w:themeColor="text1"/>
          <w:sz w:val="24"/>
          <w:highlight w:val="none"/>
          <w14:textFill>
            <w14:solidFill>
              <w14:schemeClr w14:val="tx1"/>
            </w14:solidFill>
          </w14:textFill>
        </w:rPr>
        <w:t>第三方出具的盖章件原件（如联合协议、分包意向协议、制造商授权书原件等），响应文件中应使用原件的电子件。</w:t>
      </w:r>
    </w:p>
    <w:p w14:paraId="309DF34B">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竞争性磋商文件要求盖章的内容，</w:t>
      </w:r>
      <w:r>
        <w:rPr>
          <w:rFonts w:hint="eastAsia"/>
          <w:color w:val="000000" w:themeColor="text1"/>
          <w:sz w:val="24"/>
          <w:highlight w:val="none"/>
          <w14:textFill>
            <w14:solidFill>
              <w14:schemeClr w14:val="tx1"/>
            </w14:solidFill>
          </w14:textFill>
        </w:rPr>
        <w:t>一般</w:t>
      </w:r>
      <w:r>
        <w:rPr>
          <w:color w:val="000000" w:themeColor="text1"/>
          <w:sz w:val="24"/>
          <w:highlight w:val="none"/>
          <w14:textFill>
            <w14:solidFill>
              <w14:schemeClr w14:val="tx1"/>
            </w14:solidFill>
          </w14:textFill>
        </w:rPr>
        <w:t>通过投标文件编制工具加盖电子签章。</w:t>
      </w:r>
    </w:p>
    <w:p w14:paraId="6B55D5CD">
      <w:pPr>
        <w:tabs>
          <w:tab w:val="left" w:pos="900"/>
          <w:tab w:val="left" w:pos="1080"/>
        </w:tabs>
        <w:spacing w:line="360" w:lineRule="auto"/>
        <w:ind w:left="357"/>
        <w:rPr>
          <w:color w:val="000000" w:themeColor="text1"/>
          <w:highlight w:val="none"/>
          <w14:textFill>
            <w14:solidFill>
              <w14:schemeClr w14:val="tx1"/>
            </w14:solidFill>
          </w14:textFill>
        </w:rPr>
      </w:pPr>
    </w:p>
    <w:p w14:paraId="56B769FA">
      <w:pPr>
        <w:pStyle w:val="186"/>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四   响应文件的提交</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14:paraId="638EB7A7">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341" w:name="_Toc151190162"/>
      <w:bookmarkStart w:id="342" w:name="_Toc127161449"/>
      <w:bookmarkStart w:id="343" w:name="_Toc164229230"/>
      <w:bookmarkStart w:id="344" w:name="_Toc164608649"/>
      <w:bookmarkStart w:id="345" w:name="_Toc164229376"/>
      <w:bookmarkStart w:id="346" w:name="_Toc151193705"/>
      <w:bookmarkStart w:id="347" w:name="_Toc151193849"/>
      <w:bookmarkStart w:id="348" w:name="_Toc142311037"/>
      <w:bookmarkStart w:id="349" w:name="_Toc151193633"/>
      <w:bookmarkStart w:id="350" w:name="_Toc226965808"/>
      <w:bookmarkStart w:id="351" w:name="_Toc151193777"/>
      <w:bookmarkStart w:id="352" w:name="_Toc520356160"/>
      <w:bookmarkStart w:id="353" w:name="_Toc305158877"/>
      <w:bookmarkStart w:id="354" w:name="_Toc150774740"/>
      <w:bookmarkStart w:id="355" w:name="_Toc226965725"/>
      <w:bookmarkStart w:id="356" w:name="_Toc151193923"/>
      <w:bookmarkStart w:id="357" w:name="_Toc265228373"/>
      <w:bookmarkStart w:id="358" w:name="_Toc264969225"/>
      <w:bookmarkStart w:id="359" w:name="_Toc305158803"/>
      <w:bookmarkStart w:id="360" w:name="_Toc195842900"/>
      <w:bookmarkStart w:id="361" w:name="_Toc226337231"/>
      <w:bookmarkStart w:id="362" w:name="_Toc127151736"/>
      <w:bookmarkStart w:id="363" w:name="_Toc150509286"/>
      <w:bookmarkStart w:id="364" w:name="_Toc127151535"/>
      <w:bookmarkStart w:id="365" w:name="_Toc164351629"/>
      <w:bookmarkStart w:id="366" w:name="_Toc150480773"/>
      <w:bookmarkStart w:id="367" w:name="_Toc150774635"/>
      <w:bookmarkStart w:id="368" w:name="_Toc149720828"/>
      <w:bookmarkStart w:id="369" w:name="_Toc164608804"/>
      <w:bookmarkStart w:id="370" w:name="_Toc226309779"/>
      <w:r>
        <w:rPr>
          <w:color w:val="000000" w:themeColor="text1"/>
          <w:sz w:val="24"/>
          <w:highlight w:val="none"/>
          <w14:textFill>
            <w14:solidFill>
              <w14:schemeClr w14:val="tx1"/>
            </w14:solidFill>
          </w14:textFill>
        </w:rPr>
        <w:t>响应文件的</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r>
        <w:rPr>
          <w:color w:val="000000" w:themeColor="text1"/>
          <w:sz w:val="24"/>
          <w:highlight w:val="none"/>
          <w14:textFill>
            <w14:solidFill>
              <w14:schemeClr w14:val="tx1"/>
            </w14:solidFill>
          </w14:textFill>
        </w:rPr>
        <w:t>提交</w:t>
      </w:r>
    </w:p>
    <w:p w14:paraId="07A26573">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本项目使用</w:t>
      </w:r>
      <w:r>
        <w:rPr>
          <w:rFonts w:hint="eastAsia"/>
          <w:color w:val="000000" w:themeColor="text1"/>
          <w:sz w:val="24"/>
          <w:highlight w:val="none"/>
          <w:lang w:eastAsia="zh-CN"/>
          <w14:textFill>
            <w14:solidFill>
              <w14:schemeClr w14:val="tx1"/>
            </w14:solidFill>
          </w14:textFill>
        </w:rPr>
        <w:t>“苏采云”政府采购一体化平台供应商端</w:t>
      </w:r>
      <w:r>
        <w:rPr>
          <w:color w:val="000000" w:themeColor="text1"/>
          <w:sz w:val="24"/>
          <w:highlight w:val="none"/>
          <w14:textFill>
            <w14:solidFill>
              <w14:schemeClr w14:val="tx1"/>
            </w14:solidFill>
          </w14:textFill>
        </w:rPr>
        <w:t>。供应商根据竞争性磋商文件及</w:t>
      </w:r>
      <w:r>
        <w:rPr>
          <w:rFonts w:hint="eastAsia"/>
          <w:color w:val="000000" w:themeColor="text1"/>
          <w:sz w:val="24"/>
          <w:highlight w:val="none"/>
          <w:lang w:eastAsia="zh-CN"/>
          <w14:textFill>
            <w14:solidFill>
              <w14:schemeClr w14:val="tx1"/>
            </w14:solidFill>
          </w14:textFill>
        </w:rPr>
        <w:t>“苏采云”政府采购一体化平台供应商端</w:t>
      </w:r>
      <w:r>
        <w:rPr>
          <w:color w:val="000000" w:themeColor="text1"/>
          <w:sz w:val="24"/>
          <w:highlight w:val="none"/>
          <w14:textFill>
            <w14:solidFill>
              <w14:schemeClr w14:val="tx1"/>
            </w14:solidFill>
          </w14:textFill>
        </w:rPr>
        <w:t>供应商操作手册要求编制、生成并提交电子响应文件。</w:t>
      </w:r>
    </w:p>
    <w:p w14:paraId="58396495">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采购人及采购代理机构拒绝接受通过电子交易平台以外任何形式提交的响应文件，磋商保证金除外。</w:t>
      </w:r>
    </w:p>
    <w:p w14:paraId="2AFCFD81">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371" w:name="_Toc164608650"/>
      <w:bookmarkStart w:id="372" w:name="_Toc164229377"/>
      <w:bookmarkStart w:id="373" w:name="_Toc520356161"/>
      <w:bookmarkStart w:id="374" w:name="_Toc265228374"/>
      <w:bookmarkStart w:id="375" w:name="_Toc150480774"/>
      <w:bookmarkStart w:id="376" w:name="_Toc150509287"/>
      <w:bookmarkStart w:id="377" w:name="_Toc127161450"/>
      <w:bookmarkStart w:id="378" w:name="_Toc151193850"/>
      <w:bookmarkStart w:id="379" w:name="_Toc151193634"/>
      <w:bookmarkStart w:id="380" w:name="_Toc305158878"/>
      <w:bookmarkStart w:id="381" w:name="_Toc226309780"/>
      <w:bookmarkStart w:id="382" w:name="_Toc164351630"/>
      <w:bookmarkStart w:id="383" w:name="_Toc127151536"/>
      <w:bookmarkStart w:id="384" w:name="_Toc226337232"/>
      <w:bookmarkStart w:id="385" w:name="_Toc150774741"/>
      <w:bookmarkStart w:id="386" w:name="_Toc150774636"/>
      <w:bookmarkStart w:id="387" w:name="_Toc149720829"/>
      <w:bookmarkStart w:id="388" w:name="_Toc164229231"/>
      <w:bookmarkStart w:id="389" w:name="_Toc164608805"/>
      <w:bookmarkStart w:id="390" w:name="_Toc226965726"/>
      <w:bookmarkStart w:id="391" w:name="_Toc305158804"/>
      <w:bookmarkStart w:id="392" w:name="_Toc151193706"/>
      <w:bookmarkStart w:id="393" w:name="_Toc195842901"/>
      <w:bookmarkStart w:id="394" w:name="_Toc151193778"/>
      <w:bookmarkStart w:id="395" w:name="_Toc226965809"/>
      <w:bookmarkStart w:id="396" w:name="_Toc151193924"/>
      <w:bookmarkStart w:id="397" w:name="_Toc264969226"/>
      <w:bookmarkStart w:id="398" w:name="_Toc151190163"/>
      <w:bookmarkStart w:id="399" w:name="_Toc127151737"/>
      <w:bookmarkStart w:id="400" w:name="_Toc142311038"/>
      <w:r>
        <w:rPr>
          <w:color w:val="000000" w:themeColor="text1"/>
          <w:sz w:val="24"/>
          <w:highlight w:val="none"/>
          <w14:textFill>
            <w14:solidFill>
              <w14:schemeClr w14:val="tx1"/>
            </w14:solidFill>
          </w14:textFill>
        </w:rPr>
        <w:t>响应文件截止</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Pr>
          <w:color w:val="000000" w:themeColor="text1"/>
          <w:sz w:val="24"/>
          <w:highlight w:val="none"/>
          <w14:textFill>
            <w14:solidFill>
              <w14:schemeClr w14:val="tx1"/>
            </w14:solidFill>
          </w14:textFill>
        </w:rPr>
        <w:t>时间</w:t>
      </w:r>
    </w:p>
    <w:p w14:paraId="281A85E7">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供应商应在竞争性磋商文件要求提交响应文件截止时间前，将电子响应文件提交至</w:t>
      </w:r>
      <w:r>
        <w:rPr>
          <w:rFonts w:hint="eastAsia"/>
          <w:color w:val="000000" w:themeColor="text1"/>
          <w:sz w:val="24"/>
          <w:highlight w:val="none"/>
          <w:lang w:eastAsia="zh-CN"/>
          <w14:textFill>
            <w14:solidFill>
              <w14:schemeClr w14:val="tx1"/>
            </w14:solidFill>
          </w14:textFill>
        </w:rPr>
        <w:t>“苏采云”政府采购一体化平台供应商端</w:t>
      </w:r>
      <w:r>
        <w:rPr>
          <w:color w:val="000000" w:themeColor="text1"/>
          <w:sz w:val="24"/>
          <w:highlight w:val="none"/>
          <w14:textFill>
            <w14:solidFill>
              <w14:schemeClr w14:val="tx1"/>
            </w14:solidFill>
          </w14:textFill>
        </w:rPr>
        <w:t>。</w:t>
      </w:r>
    </w:p>
    <w:p w14:paraId="5381D492">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401" w:name="_Toc226965727"/>
      <w:bookmarkStart w:id="402" w:name="_Toc305158805"/>
      <w:bookmarkStart w:id="403" w:name="_Toc151193851"/>
      <w:bookmarkStart w:id="404" w:name="_Toc226337233"/>
      <w:bookmarkStart w:id="405" w:name="_Toc150774637"/>
      <w:bookmarkStart w:id="406" w:name="_Toc151193635"/>
      <w:bookmarkStart w:id="407" w:name="_Toc151193779"/>
      <w:bookmarkStart w:id="408" w:name="_Toc142311039"/>
      <w:bookmarkStart w:id="409" w:name="_Toc264969227"/>
      <w:bookmarkStart w:id="410" w:name="_Toc164229232"/>
      <w:bookmarkStart w:id="411" w:name="_Toc305158879"/>
      <w:bookmarkStart w:id="412" w:name="_Toc149720830"/>
      <w:bookmarkStart w:id="413" w:name="_Toc164608651"/>
      <w:bookmarkStart w:id="414" w:name="_Toc127151537"/>
      <w:bookmarkStart w:id="415" w:name="_Toc150774742"/>
      <w:bookmarkStart w:id="416" w:name="_Toc151190164"/>
      <w:bookmarkStart w:id="417" w:name="_Toc127161451"/>
      <w:bookmarkStart w:id="418" w:name="_Toc520356162"/>
      <w:bookmarkStart w:id="419" w:name="_Toc195842902"/>
      <w:bookmarkStart w:id="420" w:name="_Toc226965810"/>
      <w:bookmarkStart w:id="421" w:name="_Toc151193925"/>
      <w:bookmarkStart w:id="422" w:name="_Toc150509288"/>
      <w:bookmarkStart w:id="423" w:name="_Toc164351631"/>
      <w:bookmarkStart w:id="424" w:name="_Toc127151738"/>
      <w:bookmarkStart w:id="425" w:name="_Toc226309781"/>
      <w:bookmarkStart w:id="426" w:name="_Toc164229378"/>
      <w:bookmarkStart w:id="427" w:name="_Toc164608806"/>
      <w:bookmarkStart w:id="428" w:name="_Toc151193707"/>
      <w:bookmarkStart w:id="429" w:name="_Toc150480775"/>
      <w:bookmarkStart w:id="430" w:name="_Toc265228375"/>
      <w:r>
        <w:rPr>
          <w:color w:val="000000" w:themeColor="text1"/>
          <w:sz w:val="24"/>
          <w:highlight w:val="none"/>
          <w14:textFill>
            <w14:solidFill>
              <w14:schemeClr w14:val="tx1"/>
            </w14:solidFill>
          </w14:textFill>
        </w:rPr>
        <w:t>响应文件的修改与撤回</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14:paraId="42A25BED">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提交响应文件截止时间前，供应商可以通过电子交易平台对所提交的响应文件进行补充、修改或者撤回。磋商保证金</w:t>
      </w:r>
      <w:r>
        <w:rPr>
          <w:rFonts w:hint="eastAsia"/>
          <w:color w:val="000000" w:themeColor="text1"/>
          <w:sz w:val="24"/>
          <w:highlight w:val="none"/>
          <w14:textFill>
            <w14:solidFill>
              <w14:schemeClr w14:val="tx1"/>
            </w14:solidFill>
          </w14:textFill>
        </w:rPr>
        <w:t>的</w:t>
      </w:r>
      <w:r>
        <w:rPr>
          <w:color w:val="000000" w:themeColor="text1"/>
          <w:sz w:val="24"/>
          <w:highlight w:val="none"/>
          <w14:textFill>
            <w14:solidFill>
              <w14:schemeClr w14:val="tx1"/>
            </w14:solidFill>
          </w14:textFill>
        </w:rPr>
        <w:t>补充、修改或者撤回</w:t>
      </w:r>
      <w:r>
        <w:rPr>
          <w:rFonts w:hint="eastAsia"/>
          <w:color w:val="000000" w:themeColor="text1"/>
          <w:sz w:val="24"/>
          <w:highlight w:val="none"/>
          <w14:textFill>
            <w14:solidFill>
              <w14:schemeClr w14:val="tx1"/>
            </w14:solidFill>
          </w14:textFill>
        </w:rPr>
        <w:t>无需</w:t>
      </w:r>
      <w:r>
        <w:rPr>
          <w:color w:val="000000" w:themeColor="text1"/>
          <w:sz w:val="24"/>
          <w:highlight w:val="none"/>
          <w14:textFill>
            <w14:solidFill>
              <w14:schemeClr w14:val="tx1"/>
            </w14:solidFill>
          </w14:textFill>
        </w:rPr>
        <w:t>通过电子交易平台</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但应</w:t>
      </w:r>
      <w:r>
        <w:rPr>
          <w:rFonts w:hint="eastAsia"/>
          <w:color w:val="000000" w:themeColor="text1"/>
          <w:sz w:val="24"/>
          <w:highlight w:val="none"/>
          <w14:textFill>
            <w14:solidFill>
              <w14:schemeClr w14:val="tx1"/>
            </w14:solidFill>
          </w14:textFill>
        </w:rPr>
        <w:t>就其</w:t>
      </w:r>
      <w:r>
        <w:rPr>
          <w:color w:val="000000" w:themeColor="text1"/>
          <w:sz w:val="24"/>
          <w:highlight w:val="none"/>
          <w14:textFill>
            <w14:solidFill>
              <w14:schemeClr w14:val="tx1"/>
            </w14:solidFill>
          </w14:textFill>
        </w:rPr>
        <w:t>补充、修改或者撤回</w:t>
      </w:r>
      <w:r>
        <w:rPr>
          <w:rFonts w:hint="eastAsia"/>
          <w:color w:val="000000" w:themeColor="text1"/>
          <w:sz w:val="24"/>
          <w:highlight w:val="none"/>
          <w14:textFill>
            <w14:solidFill>
              <w14:schemeClr w14:val="tx1"/>
            </w14:solidFill>
          </w14:textFill>
        </w:rPr>
        <w:t>通知</w:t>
      </w:r>
      <w:r>
        <w:rPr>
          <w:color w:val="000000" w:themeColor="text1"/>
          <w:sz w:val="24"/>
          <w:highlight w:val="none"/>
          <w14:textFill>
            <w14:solidFill>
              <w14:schemeClr w14:val="tx1"/>
            </w14:solidFill>
          </w14:textFill>
        </w:rPr>
        <w:t>采购人或采购代理机构。</w:t>
      </w:r>
    </w:p>
    <w:p w14:paraId="41268F52">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供应商对响应文件的补充、修改的内容应当按照竞争性磋商文件要求签署、盖章，作为响应文件的组成部分。补充、修改的内容与响应文件不一致的，以补充、修改的内容为准。</w:t>
      </w:r>
    </w:p>
    <w:p w14:paraId="2BEEA577">
      <w:pPr>
        <w:tabs>
          <w:tab w:val="left" w:pos="900"/>
          <w:tab w:val="left" w:pos="1080"/>
          <w:tab w:val="left" w:pos="1589"/>
        </w:tabs>
        <w:spacing w:line="360" w:lineRule="auto"/>
        <w:ind w:left="357"/>
        <w:rPr>
          <w:color w:val="000000" w:themeColor="text1"/>
          <w:sz w:val="24"/>
          <w:highlight w:val="none"/>
          <w14:textFill>
            <w14:solidFill>
              <w14:schemeClr w14:val="tx1"/>
            </w14:solidFill>
          </w14:textFill>
        </w:rPr>
      </w:pPr>
    </w:p>
    <w:p w14:paraId="7E60320B">
      <w:pPr>
        <w:pStyle w:val="186"/>
        <w:spacing w:before="0" w:line="360" w:lineRule="auto"/>
        <w:rPr>
          <w:rFonts w:ascii="Times New Roman" w:hAnsi="Times New Roman" w:eastAsia="宋体"/>
          <w:color w:val="000000" w:themeColor="text1"/>
          <w:sz w:val="28"/>
          <w:highlight w:val="none"/>
          <w14:textFill>
            <w14:solidFill>
              <w14:schemeClr w14:val="tx1"/>
            </w14:solidFill>
          </w14:textFill>
        </w:rPr>
      </w:pPr>
      <w:bookmarkStart w:id="431" w:name="_Toc265228376"/>
      <w:bookmarkStart w:id="432" w:name="_Toc127151538"/>
      <w:bookmarkStart w:id="433" w:name="_Toc150509289"/>
      <w:bookmarkStart w:id="434" w:name="_Toc226309782"/>
      <w:bookmarkStart w:id="435" w:name="_Toc195842903"/>
      <w:bookmarkStart w:id="436" w:name="_Toc226337234"/>
      <w:bookmarkStart w:id="437" w:name="_Toc151193636"/>
      <w:bookmarkStart w:id="438" w:name="_Toc264969228"/>
      <w:bookmarkStart w:id="439" w:name="_Toc151193708"/>
      <w:bookmarkStart w:id="440" w:name="_Toc151193926"/>
      <w:bookmarkStart w:id="441" w:name="_Toc226965728"/>
      <w:bookmarkStart w:id="442" w:name="_Toc305158880"/>
      <w:bookmarkStart w:id="443" w:name="_Toc151190165"/>
      <w:bookmarkStart w:id="444" w:name="_Toc520356163"/>
      <w:bookmarkStart w:id="445" w:name="_Toc150480776"/>
      <w:bookmarkStart w:id="446" w:name="_Toc151193852"/>
      <w:bookmarkStart w:id="447" w:name="_Toc150774743"/>
      <w:bookmarkStart w:id="448" w:name="_Toc151193780"/>
      <w:bookmarkStart w:id="449" w:name="_Toc150774638"/>
      <w:bookmarkStart w:id="450" w:name="_Toc142311040"/>
      <w:bookmarkStart w:id="451" w:name="_Toc305158806"/>
      <w:bookmarkStart w:id="452" w:name="_Toc226965811"/>
      <w:r>
        <w:rPr>
          <w:rFonts w:ascii="Times New Roman" w:hAnsi="Times New Roman" w:eastAsia="宋体"/>
          <w:color w:val="000000" w:themeColor="text1"/>
          <w:sz w:val="28"/>
          <w:highlight w:val="none"/>
          <w14:textFill>
            <w14:solidFill>
              <w14:schemeClr w14:val="tx1"/>
            </w14:solidFill>
          </w14:textFill>
        </w:rPr>
        <w:t xml:space="preserve">五   </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Pr>
          <w:rFonts w:ascii="Times New Roman" w:hAnsi="Times New Roman" w:eastAsia="宋体"/>
          <w:color w:val="000000" w:themeColor="text1"/>
          <w:sz w:val="28"/>
          <w:highlight w:val="none"/>
          <w14:textFill>
            <w14:solidFill>
              <w14:schemeClr w14:val="tx1"/>
            </w14:solidFill>
          </w14:textFill>
        </w:rPr>
        <w:t>评审</w:t>
      </w:r>
    </w:p>
    <w:p w14:paraId="527F8451">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响应文件的</w:t>
      </w:r>
      <w:r>
        <w:rPr>
          <w:rFonts w:hint="eastAsia"/>
          <w:color w:val="000000" w:themeColor="text1"/>
          <w:sz w:val="24"/>
          <w:highlight w:val="none"/>
          <w14:textFill>
            <w14:solidFill>
              <w14:schemeClr w14:val="tx1"/>
            </w14:solidFill>
          </w14:textFill>
        </w:rPr>
        <w:t>解密与</w:t>
      </w:r>
      <w:r>
        <w:rPr>
          <w:color w:val="000000" w:themeColor="text1"/>
          <w:sz w:val="24"/>
          <w:highlight w:val="none"/>
          <w14:textFill>
            <w14:solidFill>
              <w14:schemeClr w14:val="tx1"/>
            </w14:solidFill>
          </w14:textFill>
        </w:rPr>
        <w:t>开启</w:t>
      </w:r>
    </w:p>
    <w:p w14:paraId="49FA8A05">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采购人或采购代理机构将按竞争性磋商文件的规定，在响应文件提交截止时间的同一时间和竞争性磋商文件预先确定的地点开启响应文件。</w:t>
      </w:r>
    </w:p>
    <w:p w14:paraId="00963597">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w:t>
      </w:r>
      <w:r>
        <w:rPr>
          <w:rFonts w:ascii="宋体" w:hAnsi="宋体"/>
          <w:color w:val="000000" w:themeColor="text1"/>
          <w:sz w:val="24"/>
          <w:highlight w:val="none"/>
          <w14:textFill>
            <w14:solidFill>
              <w14:schemeClr w14:val="tx1"/>
            </w14:solidFill>
          </w14:textFill>
        </w:rPr>
        <w:t>采用不见面招</w:t>
      </w:r>
      <w:r>
        <w:rPr>
          <w:rFonts w:hint="eastAsia" w:ascii="宋体" w:hAnsi="宋体"/>
          <w:color w:val="000000" w:themeColor="text1"/>
          <w:sz w:val="24"/>
          <w:highlight w:val="none"/>
          <w14:textFill>
            <w14:solidFill>
              <w14:schemeClr w14:val="tx1"/>
            </w14:solidFill>
          </w14:textFill>
        </w:rPr>
        <w:t>交易</w:t>
      </w:r>
      <w:r>
        <w:rPr>
          <w:rFonts w:ascii="宋体" w:hAnsi="宋体"/>
          <w:color w:val="000000" w:themeColor="text1"/>
          <w:sz w:val="24"/>
          <w:highlight w:val="none"/>
          <w14:textFill>
            <w14:solidFill>
              <w14:schemeClr w14:val="tx1"/>
            </w14:solidFill>
          </w14:textFill>
        </w:rPr>
        <w:t>模式</w:t>
      </w:r>
      <w:r>
        <w:rPr>
          <w:rFonts w:hint="eastAsia" w:ascii="宋体" w:hAnsi="宋体"/>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使用</w:t>
      </w:r>
      <w:r>
        <w:rPr>
          <w:rFonts w:hint="eastAsia"/>
          <w:color w:val="000000" w:themeColor="text1"/>
          <w:sz w:val="24"/>
          <w:highlight w:val="none"/>
          <w:lang w:eastAsia="zh-CN"/>
          <w14:textFill>
            <w14:solidFill>
              <w14:schemeClr w14:val="tx1"/>
            </w14:solidFill>
          </w14:textFill>
        </w:rPr>
        <w:t>“苏采云”政府采购一体化平台供应商端</w:t>
      </w:r>
      <w:r>
        <w:rPr>
          <w:rFonts w:hint="eastAsia"/>
          <w:color w:val="000000" w:themeColor="text1"/>
          <w:sz w:val="24"/>
          <w:highlight w:val="none"/>
          <w14:textFill>
            <w14:solidFill>
              <w14:schemeClr w14:val="tx1"/>
            </w14:solidFill>
          </w14:textFill>
        </w:rPr>
        <w:t>在线进行</w:t>
      </w:r>
      <w:r>
        <w:rPr>
          <w:color w:val="000000" w:themeColor="text1"/>
          <w:sz w:val="24"/>
          <w:highlight w:val="none"/>
          <w14:textFill>
            <w14:solidFill>
              <w14:schemeClr w14:val="tx1"/>
            </w14:solidFill>
          </w14:textFill>
        </w:rPr>
        <w:t>解密。供应商应在规定的时间内对</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文件进行解密，因非系统原因导致的解密失败，视为</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4681CAA2">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供应商不足3家的，不予解密。</w:t>
      </w:r>
    </w:p>
    <w:p w14:paraId="21ACD1F4">
      <w:pPr>
        <w:numPr>
          <w:ilvl w:val="1"/>
          <w:numId w:val="9"/>
        </w:numPr>
        <w:tabs>
          <w:tab w:val="left" w:pos="1080"/>
          <w:tab w:val="left" w:pos="2014"/>
        </w:tabs>
        <w:spacing w:line="360" w:lineRule="auto"/>
        <w:ind w:left="1077" w:hanging="720"/>
        <w:rPr>
          <w:rFonts w:hint="eastAsia"/>
          <w:color w:val="000000" w:themeColor="text1"/>
          <w:sz w:val="24"/>
          <w:highlight w:val="none"/>
          <w14:textFill>
            <w14:solidFill>
              <w14:schemeClr w14:val="tx1"/>
            </w14:solidFill>
          </w14:textFill>
        </w:rPr>
      </w:pPr>
      <w:bookmarkStart w:id="453" w:name="_Toc520356165"/>
      <w:r>
        <w:rPr>
          <w:color w:val="000000" w:themeColor="text1"/>
          <w:sz w:val="24"/>
          <w:highlight w:val="none"/>
          <w14:textFill>
            <w14:solidFill>
              <w14:schemeClr w14:val="tx1"/>
            </w14:solidFill>
          </w14:textFill>
        </w:rPr>
        <w:t>本项目不公开报价。</w:t>
      </w:r>
    </w:p>
    <w:p w14:paraId="669939C6">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供应商须在开标前使用“验证CA”功能验证本地计算机的控件环境是否正常，并且在</w:t>
      </w:r>
      <w:r>
        <w:rPr>
          <w:rFonts w:hint="eastAsia"/>
          <w:color w:val="000000" w:themeColor="text1"/>
          <w:sz w:val="24"/>
          <w:highlight w:val="none"/>
          <w14:textFill>
            <w14:solidFill>
              <w14:schemeClr w14:val="tx1"/>
            </w14:solidFill>
          </w14:textFill>
        </w:rPr>
        <w:t>解密、评审</w:t>
      </w:r>
      <w:r>
        <w:rPr>
          <w:color w:val="000000" w:themeColor="text1"/>
          <w:sz w:val="24"/>
          <w:highlight w:val="none"/>
          <w14:textFill>
            <w14:solidFill>
              <w14:schemeClr w14:val="tx1"/>
            </w14:solidFill>
          </w14:textFill>
        </w:rPr>
        <w:t>过程中不可随意更换</w:t>
      </w:r>
      <w:r>
        <w:rPr>
          <w:rFonts w:hint="eastAsia"/>
          <w:color w:val="000000" w:themeColor="text1"/>
          <w:sz w:val="24"/>
          <w:highlight w:val="none"/>
          <w14:textFill>
            <w14:solidFill>
              <w14:schemeClr w14:val="tx1"/>
            </w14:solidFill>
          </w14:textFill>
        </w:rPr>
        <w:t>计算机</w:t>
      </w:r>
      <w:r>
        <w:rPr>
          <w:color w:val="000000" w:themeColor="text1"/>
          <w:sz w:val="24"/>
          <w:highlight w:val="none"/>
          <w14:textFill>
            <w14:solidFill>
              <w14:schemeClr w14:val="tx1"/>
            </w14:solidFill>
          </w14:textFill>
        </w:rPr>
        <w:t>，必须使用验证成功的计算机进行操作，否则造成相应后果由供应商自行承担。本地计算机</w:t>
      </w:r>
      <w:r>
        <w:rPr>
          <w:rFonts w:hint="eastAsia"/>
          <w:color w:val="000000" w:themeColor="text1"/>
          <w:sz w:val="24"/>
          <w:highlight w:val="none"/>
          <w14:textFill>
            <w14:solidFill>
              <w14:schemeClr w14:val="tx1"/>
            </w14:solidFill>
          </w14:textFill>
        </w:rPr>
        <w:t>要求安装摄像头、麦克风和音箱，保持网络通畅。</w:t>
      </w:r>
    </w:p>
    <w:p w14:paraId="3351BB49">
      <w:pPr>
        <w:numPr>
          <w:ilvl w:val="1"/>
          <w:numId w:val="9"/>
        </w:numPr>
        <w:tabs>
          <w:tab w:val="left" w:pos="1080"/>
          <w:tab w:val="left" w:pos="2014"/>
        </w:tabs>
        <w:spacing w:line="360" w:lineRule="auto"/>
        <w:ind w:left="1077" w:hanging="72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因本项目</w:t>
      </w:r>
      <w:r>
        <w:rPr>
          <w:color w:val="000000" w:themeColor="text1"/>
          <w:sz w:val="24"/>
          <w:highlight w:val="none"/>
          <w14:textFill>
            <w14:solidFill>
              <w14:schemeClr w14:val="tx1"/>
            </w14:solidFill>
          </w14:textFill>
        </w:rPr>
        <w:t>采用不见面交易的</w:t>
      </w:r>
      <w:r>
        <w:rPr>
          <w:rFonts w:hint="eastAsia"/>
          <w:color w:val="000000" w:themeColor="text1"/>
          <w:sz w:val="24"/>
          <w:highlight w:val="none"/>
          <w14:textFill>
            <w14:solidFill>
              <w14:schemeClr w14:val="tx1"/>
            </w14:solidFill>
          </w14:textFill>
        </w:rPr>
        <w:t>方式</w:t>
      </w:r>
      <w:r>
        <w:rPr>
          <w:color w:val="000000" w:themeColor="text1"/>
          <w:sz w:val="24"/>
          <w:highlight w:val="none"/>
          <w14:textFill>
            <w14:solidFill>
              <w14:schemeClr w14:val="tx1"/>
            </w14:solidFill>
          </w14:textFill>
        </w:rPr>
        <w:t>，在</w:t>
      </w:r>
      <w:r>
        <w:rPr>
          <w:rFonts w:hint="eastAsia"/>
          <w:color w:val="000000" w:themeColor="text1"/>
          <w:sz w:val="24"/>
          <w:highlight w:val="none"/>
          <w14:textFill>
            <w14:solidFill>
              <w14:schemeClr w14:val="tx1"/>
            </w14:solidFill>
          </w14:textFill>
        </w:rPr>
        <w:t>解密、评审</w:t>
      </w:r>
      <w:r>
        <w:rPr>
          <w:color w:val="000000" w:themeColor="text1"/>
          <w:sz w:val="24"/>
          <w:highlight w:val="none"/>
          <w14:textFill>
            <w14:solidFill>
              <w14:schemeClr w14:val="tx1"/>
            </w14:solidFill>
          </w14:textFill>
        </w:rPr>
        <w:t>过程中，</w:t>
      </w:r>
      <w:r>
        <w:rPr>
          <w:rFonts w:hint="eastAsia"/>
          <w:color w:val="000000" w:themeColor="text1"/>
          <w:sz w:val="24"/>
          <w:highlight w:val="none"/>
          <w14:textFill>
            <w14:solidFill>
              <w14:schemeClr w14:val="tx1"/>
            </w14:solidFill>
          </w14:textFill>
        </w:rPr>
        <w:t>供应商</w:t>
      </w:r>
      <w:r>
        <w:rPr>
          <w:color w:val="000000" w:themeColor="text1"/>
          <w:sz w:val="24"/>
          <w:highlight w:val="none"/>
          <w14:textFill>
            <w14:solidFill>
              <w14:schemeClr w14:val="tx1"/>
            </w14:solidFill>
          </w14:textFill>
        </w:rPr>
        <w:t>需</w:t>
      </w:r>
      <w:r>
        <w:rPr>
          <w:rFonts w:hint="eastAsia"/>
          <w:color w:val="000000" w:themeColor="text1"/>
          <w:sz w:val="24"/>
          <w:highlight w:val="none"/>
          <w14:textFill>
            <w14:solidFill>
              <w14:schemeClr w14:val="tx1"/>
            </w14:solidFill>
          </w14:textFill>
        </w:rPr>
        <w:t>要</w:t>
      </w:r>
      <w:r>
        <w:rPr>
          <w:color w:val="000000" w:themeColor="text1"/>
          <w:sz w:val="24"/>
          <w:highlight w:val="none"/>
          <w14:textFill>
            <w14:solidFill>
              <w14:schemeClr w14:val="tx1"/>
            </w14:solidFill>
          </w14:textFill>
        </w:rPr>
        <w:t>保持操作计算机前有相关责任人</w:t>
      </w:r>
      <w:r>
        <w:rPr>
          <w:rFonts w:hint="eastAsia"/>
          <w:color w:val="000000" w:themeColor="text1"/>
          <w:sz w:val="24"/>
          <w:highlight w:val="none"/>
          <w14:textFill>
            <w14:solidFill>
              <w14:schemeClr w14:val="tx1"/>
            </w14:solidFill>
          </w14:textFill>
        </w:rPr>
        <w:t>值守，及时对于系统或者磋商小组发出的指令和要求进行响应操作。如果因为无人值守造成不能及时回应系统或者磋商小组指令和要求从而导致影响开标、评审结果的，责任由供应商承担</w:t>
      </w:r>
      <w:r>
        <w:rPr>
          <w:color w:val="000000" w:themeColor="text1"/>
          <w:sz w:val="24"/>
          <w:highlight w:val="none"/>
          <w14:textFill>
            <w14:solidFill>
              <w14:schemeClr w14:val="tx1"/>
            </w14:solidFill>
          </w14:textFill>
        </w:rPr>
        <w:t>。</w:t>
      </w:r>
    </w:p>
    <w:p w14:paraId="10CFCE35">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如果在</w:t>
      </w:r>
      <w:r>
        <w:rPr>
          <w:color w:val="000000" w:themeColor="text1"/>
          <w:sz w:val="24"/>
          <w:highlight w:val="none"/>
          <w14:textFill>
            <w14:solidFill>
              <w14:schemeClr w14:val="tx1"/>
            </w14:solidFill>
          </w14:textFill>
        </w:rPr>
        <w:t>采购</w:t>
      </w:r>
      <w:r>
        <w:rPr>
          <w:rFonts w:hint="eastAsia"/>
          <w:color w:val="000000" w:themeColor="text1"/>
          <w:sz w:val="24"/>
          <w:highlight w:val="none"/>
          <w14:textFill>
            <w14:solidFill>
              <w14:schemeClr w14:val="tx1"/>
            </w14:solidFill>
          </w14:textFill>
        </w:rPr>
        <w:t>活动</w:t>
      </w:r>
      <w:r>
        <w:rPr>
          <w:color w:val="000000" w:themeColor="text1"/>
          <w:sz w:val="24"/>
          <w:highlight w:val="none"/>
          <w14:textFill>
            <w14:solidFill>
              <w14:schemeClr w14:val="tx1"/>
            </w14:solidFill>
          </w14:textFill>
        </w:rPr>
        <w:t>过程中出现以下情形，导致</w:t>
      </w:r>
      <w:r>
        <w:rPr>
          <w:rFonts w:hint="eastAsia"/>
          <w:color w:val="000000" w:themeColor="text1"/>
          <w:sz w:val="24"/>
          <w:highlight w:val="none"/>
          <w14:textFill>
            <w14:solidFill>
              <w14:schemeClr w14:val="tx1"/>
            </w14:solidFill>
          </w14:textFill>
        </w:rPr>
        <w:t>“</w:t>
      </w:r>
      <w:r>
        <w:rPr>
          <w:rFonts w:hint="eastAsia"/>
          <w:color w:val="000000" w:themeColor="text1"/>
          <w:sz w:val="24"/>
          <w:highlight w:val="none"/>
          <w:lang w:eastAsia="zh-CN" w:bidi="ar"/>
          <w14:textFill>
            <w14:solidFill>
              <w14:schemeClr w14:val="tx1"/>
            </w14:solidFill>
          </w14:textFill>
        </w:rPr>
        <w:t>“苏采云”政府采购一体化平台供应商端</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无法正常运行，或者无法保证</w:t>
      </w:r>
      <w:r>
        <w:rPr>
          <w:rFonts w:hint="eastAsia"/>
          <w:color w:val="000000" w:themeColor="text1"/>
          <w:sz w:val="24"/>
          <w:highlight w:val="none"/>
          <w14:textFill>
            <w14:solidFill>
              <w14:schemeClr w14:val="tx1"/>
            </w14:solidFill>
          </w14:textFill>
        </w:rPr>
        <w:t>本项目采购活动</w:t>
      </w:r>
      <w:r>
        <w:rPr>
          <w:color w:val="000000" w:themeColor="text1"/>
          <w:sz w:val="24"/>
          <w:highlight w:val="none"/>
          <w14:textFill>
            <w14:solidFill>
              <w14:schemeClr w14:val="tx1"/>
            </w14:solidFill>
          </w14:textFill>
        </w:rPr>
        <w:t>的公平、公正和安全时，</w:t>
      </w:r>
      <w:r>
        <w:rPr>
          <w:rFonts w:hint="eastAsia"/>
          <w:color w:val="000000" w:themeColor="text1"/>
          <w:sz w:val="24"/>
          <w:highlight w:val="none"/>
          <w14:textFill>
            <w14:solidFill>
              <w14:schemeClr w14:val="tx1"/>
            </w14:solidFill>
          </w14:textFill>
        </w:rPr>
        <w:t>代理机构</w:t>
      </w:r>
      <w:r>
        <w:rPr>
          <w:color w:val="000000" w:themeColor="text1"/>
          <w:sz w:val="24"/>
          <w:highlight w:val="none"/>
          <w14:textFill>
            <w14:solidFill>
              <w14:schemeClr w14:val="tx1"/>
            </w14:solidFill>
          </w14:textFill>
        </w:rPr>
        <w:t>可</w:t>
      </w:r>
      <w:r>
        <w:rPr>
          <w:rFonts w:hint="eastAsia"/>
          <w:color w:val="000000" w:themeColor="text1"/>
          <w:sz w:val="24"/>
          <w:highlight w:val="none"/>
          <w14:textFill>
            <w14:solidFill>
              <w14:schemeClr w14:val="tx1"/>
            </w14:solidFill>
          </w14:textFill>
        </w:rPr>
        <w:t>以延缓或者暂停采购活动，情况严重的可以终止采购</w:t>
      </w:r>
      <w:r>
        <w:rPr>
          <w:color w:val="000000" w:themeColor="text1"/>
          <w:sz w:val="24"/>
          <w:highlight w:val="none"/>
          <w14:textFill>
            <w14:solidFill>
              <w14:schemeClr w14:val="tx1"/>
            </w14:solidFill>
          </w14:textFill>
        </w:rPr>
        <w:t>活动：</w:t>
      </w:r>
    </w:p>
    <w:p w14:paraId="22C2898B">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1)</w:t>
      </w:r>
      <w:r>
        <w:rPr>
          <w:color w:val="000000" w:themeColor="text1"/>
          <w:sz w:val="24"/>
          <w:highlight w:val="none"/>
          <w14:textFill>
            <w14:solidFill>
              <w14:schemeClr w14:val="tx1"/>
            </w14:solidFill>
          </w14:textFill>
        </w:rPr>
        <w:t>平台</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发生故障而无法登录访问的；</w:t>
      </w:r>
    </w:p>
    <w:p w14:paraId="625E87AB">
      <w:pPr>
        <w:tabs>
          <w:tab w:val="left" w:pos="1080"/>
          <w:tab w:val="left" w:pos="1589"/>
          <w:tab w:val="left" w:pos="2014"/>
        </w:tabs>
        <w:spacing w:line="360" w:lineRule="auto"/>
        <w:ind w:left="357" w:firstLine="84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平台</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应用或数据库出现错误，不能进行正常操作的；</w:t>
      </w:r>
    </w:p>
    <w:p w14:paraId="6626751D">
      <w:pPr>
        <w:tabs>
          <w:tab w:val="left" w:pos="1080"/>
          <w:tab w:val="left" w:pos="1589"/>
          <w:tab w:val="left" w:pos="2014"/>
        </w:tabs>
        <w:spacing w:line="360" w:lineRule="auto"/>
        <w:ind w:left="357" w:firstLine="84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w:t>
      </w:r>
      <w:r>
        <w:rPr>
          <w:color w:val="000000" w:themeColor="text1"/>
          <w:sz w:val="24"/>
          <w:highlight w:val="none"/>
          <w14:textFill>
            <w14:solidFill>
              <w14:schemeClr w14:val="tx1"/>
            </w14:solidFill>
          </w14:textFill>
        </w:rPr>
        <w:t>平台</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发现严重安全漏洞，有潜在泄密危险的；</w:t>
      </w:r>
    </w:p>
    <w:p w14:paraId="46A0DEE6">
      <w:pPr>
        <w:tabs>
          <w:tab w:val="left" w:pos="1080"/>
          <w:tab w:val="left" w:pos="1589"/>
          <w:tab w:val="left" w:pos="2014"/>
        </w:tabs>
        <w:spacing w:line="360" w:lineRule="auto"/>
        <w:ind w:left="357" w:firstLine="84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w:t>
      </w:r>
      <w:r>
        <w:rPr>
          <w:color w:val="000000" w:themeColor="text1"/>
          <w:sz w:val="24"/>
          <w:highlight w:val="none"/>
          <w14:textFill>
            <w14:solidFill>
              <w14:schemeClr w14:val="tx1"/>
            </w14:solidFill>
          </w14:textFill>
        </w:rPr>
        <w:t>病毒发作导致平台</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不能进行正常操作的；</w:t>
      </w:r>
    </w:p>
    <w:p w14:paraId="711C8C05">
      <w:pPr>
        <w:tabs>
          <w:tab w:val="left" w:pos="1080"/>
          <w:tab w:val="left" w:pos="1589"/>
          <w:tab w:val="left" w:pos="2014"/>
        </w:tabs>
        <w:spacing w:line="360" w:lineRule="auto"/>
        <w:ind w:left="357" w:firstLine="84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5)</w:t>
      </w:r>
      <w:r>
        <w:rPr>
          <w:color w:val="000000" w:themeColor="text1"/>
          <w:sz w:val="24"/>
          <w:highlight w:val="none"/>
          <w14:textFill>
            <w14:solidFill>
              <w14:schemeClr w14:val="tx1"/>
            </w14:solidFill>
          </w14:textFill>
        </w:rPr>
        <w:t>其他无法保证</w:t>
      </w:r>
      <w:r>
        <w:rPr>
          <w:rFonts w:hint="eastAsia"/>
          <w:color w:val="000000" w:themeColor="text1"/>
          <w:sz w:val="24"/>
          <w:highlight w:val="none"/>
          <w14:textFill>
            <w14:solidFill>
              <w14:schemeClr w14:val="tx1"/>
            </w14:solidFill>
          </w14:textFill>
        </w:rPr>
        <w:t>本次采购活动</w:t>
      </w:r>
      <w:r>
        <w:rPr>
          <w:color w:val="000000" w:themeColor="text1"/>
          <w:sz w:val="24"/>
          <w:highlight w:val="none"/>
          <w14:textFill>
            <w14:solidFill>
              <w14:schemeClr w14:val="tx1"/>
            </w14:solidFill>
          </w14:textFill>
        </w:rPr>
        <w:t>的公平、公正和安全的情况。</w:t>
      </w:r>
    </w:p>
    <w:p w14:paraId="0742307E">
      <w:pPr>
        <w:tabs>
          <w:tab w:val="left" w:pos="993"/>
          <w:tab w:val="left" w:pos="1589"/>
          <w:tab w:val="left" w:pos="2014"/>
        </w:tabs>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出现</w:t>
      </w:r>
      <w:r>
        <w:rPr>
          <w:rFonts w:hint="eastAsia"/>
          <w:color w:val="000000" w:themeColor="text1"/>
          <w:sz w:val="24"/>
          <w:highlight w:val="none"/>
          <w14:textFill>
            <w14:solidFill>
              <w14:schemeClr w14:val="tx1"/>
            </w14:solidFill>
          </w14:textFill>
        </w:rPr>
        <w:t>上述</w:t>
      </w:r>
      <w:r>
        <w:rPr>
          <w:color w:val="000000" w:themeColor="text1"/>
          <w:sz w:val="24"/>
          <w:highlight w:val="none"/>
          <w14:textFill>
            <w14:solidFill>
              <w14:schemeClr w14:val="tx1"/>
            </w14:solidFill>
          </w14:textFill>
        </w:rPr>
        <w:t>情形，不影响采购</w:t>
      </w:r>
      <w:r>
        <w:rPr>
          <w:rFonts w:hint="eastAsia"/>
          <w:color w:val="000000" w:themeColor="text1"/>
          <w:sz w:val="24"/>
          <w:highlight w:val="none"/>
          <w14:textFill>
            <w14:solidFill>
              <w14:schemeClr w14:val="tx1"/>
            </w14:solidFill>
          </w14:textFill>
        </w:rPr>
        <w:t>活动</w:t>
      </w:r>
      <w:r>
        <w:rPr>
          <w:color w:val="000000" w:themeColor="text1"/>
          <w:sz w:val="24"/>
          <w:highlight w:val="none"/>
          <w14:textFill>
            <w14:solidFill>
              <w14:schemeClr w14:val="tx1"/>
            </w14:solidFill>
          </w14:textFill>
        </w:rPr>
        <w:t>公平、公正性的，</w:t>
      </w:r>
      <w:r>
        <w:rPr>
          <w:rFonts w:hint="eastAsia"/>
          <w:color w:val="000000" w:themeColor="text1"/>
          <w:sz w:val="24"/>
          <w:highlight w:val="none"/>
          <w14:textFill>
            <w14:solidFill>
              <w14:schemeClr w14:val="tx1"/>
            </w14:solidFill>
          </w14:textFill>
        </w:rPr>
        <w:t>代理机构</w:t>
      </w:r>
      <w:r>
        <w:rPr>
          <w:color w:val="000000" w:themeColor="text1"/>
          <w:sz w:val="24"/>
          <w:highlight w:val="none"/>
          <w14:textFill>
            <w14:solidFill>
              <w14:schemeClr w14:val="tx1"/>
            </w14:solidFill>
          </w14:textFill>
        </w:rPr>
        <w:t>可以待上述情形消除后继续组织</w:t>
      </w:r>
      <w:r>
        <w:rPr>
          <w:rFonts w:hint="eastAsia"/>
          <w:color w:val="000000" w:themeColor="text1"/>
          <w:sz w:val="24"/>
          <w:highlight w:val="none"/>
          <w14:textFill>
            <w14:solidFill>
              <w14:schemeClr w14:val="tx1"/>
            </w14:solidFill>
          </w14:textFill>
        </w:rPr>
        <w:t>不见面</w:t>
      </w:r>
      <w:r>
        <w:rPr>
          <w:color w:val="000000" w:themeColor="text1"/>
          <w:sz w:val="24"/>
          <w:highlight w:val="none"/>
          <w14:textFill>
            <w14:solidFill>
              <w14:schemeClr w14:val="tx1"/>
            </w14:solidFill>
          </w14:textFill>
        </w:rPr>
        <w:t>交易</w:t>
      </w:r>
      <w:r>
        <w:rPr>
          <w:rFonts w:hint="eastAsia"/>
          <w:color w:val="000000" w:themeColor="text1"/>
          <w:sz w:val="24"/>
          <w:highlight w:val="none"/>
          <w14:textFill>
            <w14:solidFill>
              <w14:schemeClr w14:val="tx1"/>
            </w14:solidFill>
          </w14:textFill>
        </w:rPr>
        <w:t>采购</w:t>
      </w:r>
      <w:r>
        <w:rPr>
          <w:color w:val="000000" w:themeColor="text1"/>
          <w:sz w:val="24"/>
          <w:highlight w:val="none"/>
          <w14:textFill>
            <w14:solidFill>
              <w14:schemeClr w14:val="tx1"/>
            </w14:solidFill>
          </w14:textFill>
        </w:rPr>
        <w:t>活动，也可以决定某些环节以纸质形式进行；影响或可能影响采购</w:t>
      </w:r>
      <w:r>
        <w:rPr>
          <w:rFonts w:hint="eastAsia"/>
          <w:color w:val="000000" w:themeColor="text1"/>
          <w:sz w:val="24"/>
          <w:highlight w:val="none"/>
          <w14:textFill>
            <w14:solidFill>
              <w14:schemeClr w14:val="tx1"/>
            </w14:solidFill>
          </w14:textFill>
        </w:rPr>
        <w:t>活动</w:t>
      </w:r>
      <w:r>
        <w:rPr>
          <w:color w:val="000000" w:themeColor="text1"/>
          <w:sz w:val="24"/>
          <w:highlight w:val="none"/>
          <w14:textFill>
            <w14:solidFill>
              <w14:schemeClr w14:val="tx1"/>
            </w14:solidFill>
          </w14:textFill>
        </w:rPr>
        <w:t>公平、公正性的，应当</w:t>
      </w:r>
      <w:r>
        <w:rPr>
          <w:rFonts w:hint="eastAsia"/>
          <w:color w:val="000000" w:themeColor="text1"/>
          <w:sz w:val="24"/>
          <w:highlight w:val="none"/>
          <w14:textFill>
            <w14:solidFill>
              <w14:schemeClr w14:val="tx1"/>
            </w14:solidFill>
          </w14:textFill>
        </w:rPr>
        <w:t>终止本次项目，</w:t>
      </w:r>
      <w:r>
        <w:rPr>
          <w:color w:val="000000" w:themeColor="text1"/>
          <w:sz w:val="24"/>
          <w:highlight w:val="none"/>
          <w14:textFill>
            <w14:solidFill>
              <w14:schemeClr w14:val="tx1"/>
            </w14:solidFill>
          </w14:textFill>
        </w:rPr>
        <w:t>重新</w:t>
      </w:r>
      <w:r>
        <w:rPr>
          <w:rFonts w:hint="eastAsia"/>
          <w:color w:val="000000" w:themeColor="text1"/>
          <w:sz w:val="24"/>
          <w:highlight w:val="none"/>
          <w14:textFill>
            <w14:solidFill>
              <w14:schemeClr w14:val="tx1"/>
            </w14:solidFill>
          </w14:textFill>
        </w:rPr>
        <w:t>组织</w:t>
      </w:r>
      <w:r>
        <w:rPr>
          <w:color w:val="000000" w:themeColor="text1"/>
          <w:sz w:val="24"/>
          <w:highlight w:val="none"/>
          <w14:textFill>
            <w14:solidFill>
              <w14:schemeClr w14:val="tx1"/>
            </w14:solidFill>
          </w14:textFill>
        </w:rPr>
        <w:t>采购。</w:t>
      </w:r>
      <w:bookmarkEnd w:id="453"/>
    </w:p>
    <w:p w14:paraId="2EE253E2">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磋商小组</w:t>
      </w:r>
    </w:p>
    <w:p w14:paraId="6B5CECCA">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磋商小组根据政府采购有关规定和本次采购项目的特点进行组建，并负责具体评审事务，独立履行职责。</w:t>
      </w:r>
      <w:bookmarkStart w:id="454" w:name="_Toc520356166"/>
    </w:p>
    <w:p w14:paraId="6C74E4A1">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评审专家须符合</w:t>
      </w:r>
      <w:r>
        <w:rPr>
          <w:rFonts w:hint="eastAsia"/>
          <w:color w:val="000000" w:themeColor="text1"/>
          <w:sz w:val="24"/>
          <w:highlight w:val="none"/>
          <w14:textFill>
            <w14:solidFill>
              <w14:schemeClr w14:val="tx1"/>
            </w14:solidFill>
          </w14:textFill>
        </w:rPr>
        <w:t>相关</w:t>
      </w:r>
      <w:r>
        <w:rPr>
          <w:color w:val="000000" w:themeColor="text1"/>
          <w:sz w:val="24"/>
          <w:highlight w:val="none"/>
          <w14:textFill>
            <w14:solidFill>
              <w14:schemeClr w14:val="tx1"/>
            </w14:solidFill>
          </w14:textFill>
        </w:rPr>
        <w:t>规定。依法自行选定评审专家的，采购人和采购代理机构将查询有关信用记录，对具有行贿、受贿、欺诈等不良信用记录的人员，拒绝其参与政府采购活动。</w:t>
      </w:r>
      <w:bookmarkEnd w:id="454"/>
      <w:bookmarkStart w:id="455" w:name="_Toc520356169"/>
    </w:p>
    <w:p w14:paraId="25AE6DE9">
      <w:pPr>
        <w:numPr>
          <w:ilvl w:val="0"/>
          <w:numId w:val="9"/>
        </w:numPr>
        <w:tabs>
          <w:tab w:val="left" w:pos="360"/>
        </w:tabs>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评审方法和评审标准</w:t>
      </w:r>
    </w:p>
    <w:p w14:paraId="37AB4142">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见第三章《评审方法和评审标准》。</w:t>
      </w:r>
    </w:p>
    <w:p w14:paraId="1E0FBE0F">
      <w:pPr>
        <w:tabs>
          <w:tab w:val="left" w:pos="360"/>
          <w:tab w:val="left" w:pos="1080"/>
        </w:tabs>
        <w:spacing w:line="360" w:lineRule="auto"/>
        <w:ind w:left="1080"/>
        <w:rPr>
          <w:color w:val="000000" w:themeColor="text1"/>
          <w:sz w:val="24"/>
          <w:highlight w:val="none"/>
          <w14:textFill>
            <w14:solidFill>
              <w14:schemeClr w14:val="tx1"/>
            </w14:solidFill>
          </w14:textFill>
        </w:rPr>
      </w:pPr>
    </w:p>
    <w:p w14:paraId="0B4327CD">
      <w:pPr>
        <w:pStyle w:val="186"/>
        <w:spacing w:before="0" w:line="360" w:lineRule="auto"/>
        <w:rPr>
          <w:rFonts w:ascii="Times New Roman" w:hAnsi="Times New Roman" w:eastAsia="宋体"/>
          <w:color w:val="000000" w:themeColor="text1"/>
          <w:sz w:val="28"/>
          <w:highlight w:val="none"/>
          <w14:textFill>
            <w14:solidFill>
              <w14:schemeClr w14:val="tx1"/>
            </w14:solidFill>
          </w14:textFill>
        </w:rPr>
      </w:pPr>
      <w:bookmarkStart w:id="456" w:name="_Toc151193643"/>
      <w:bookmarkStart w:id="457" w:name="_Toc226337241"/>
      <w:bookmarkStart w:id="458" w:name="_Toc150480783"/>
      <w:bookmarkStart w:id="459" w:name="_Toc305158887"/>
      <w:bookmarkStart w:id="460" w:name="_Toc264969235"/>
      <w:bookmarkStart w:id="461" w:name="_Toc195842910"/>
      <w:bookmarkStart w:id="462" w:name="_Toc127151545"/>
      <w:bookmarkStart w:id="463" w:name="_Toc150774750"/>
      <w:bookmarkStart w:id="464" w:name="_Toc151193933"/>
      <w:bookmarkStart w:id="465" w:name="_Toc150774645"/>
      <w:bookmarkStart w:id="466" w:name="_Toc151193715"/>
      <w:bookmarkStart w:id="467" w:name="_Toc226309789"/>
      <w:bookmarkStart w:id="468" w:name="_Toc150509296"/>
      <w:bookmarkStart w:id="469" w:name="_Toc151190172"/>
      <w:bookmarkStart w:id="470" w:name="_Toc142311047"/>
      <w:bookmarkStart w:id="471" w:name="_Toc226965818"/>
      <w:bookmarkStart w:id="472" w:name="_Toc226965735"/>
      <w:bookmarkStart w:id="473" w:name="_Toc305158813"/>
      <w:bookmarkStart w:id="474" w:name="_Toc151193859"/>
      <w:bookmarkStart w:id="475" w:name="_Toc265228383"/>
      <w:bookmarkStart w:id="476" w:name="_Toc151193787"/>
      <w:r>
        <w:rPr>
          <w:rFonts w:ascii="Times New Roman" w:hAnsi="Times New Roman" w:eastAsia="宋体"/>
          <w:color w:val="000000" w:themeColor="text1"/>
          <w:sz w:val="28"/>
          <w:highlight w:val="none"/>
          <w14:textFill>
            <w14:solidFill>
              <w14:schemeClr w14:val="tx1"/>
            </w14:solidFill>
          </w14:textFill>
        </w:rPr>
        <w:t xml:space="preserve">六   </w:t>
      </w:r>
      <w:bookmarkEnd w:id="455"/>
      <w:r>
        <w:rPr>
          <w:rFonts w:ascii="Times New Roman" w:hAnsi="Times New Roman" w:eastAsia="宋体"/>
          <w:color w:val="000000" w:themeColor="text1"/>
          <w:sz w:val="28"/>
          <w:highlight w:val="none"/>
          <w14:textFill>
            <w14:solidFill>
              <w14:schemeClr w14:val="tx1"/>
            </w14:solidFill>
          </w14:textFill>
        </w:rPr>
        <w:t>确定</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r>
        <w:rPr>
          <w:rFonts w:ascii="Times New Roman" w:hAnsi="Times New Roman" w:eastAsia="宋体"/>
          <w:color w:val="000000" w:themeColor="text1"/>
          <w:sz w:val="28"/>
          <w:highlight w:val="none"/>
          <w14:textFill>
            <w14:solidFill>
              <w14:schemeClr w14:val="tx1"/>
            </w14:solidFill>
          </w14:textFill>
        </w:rPr>
        <w:t>成交</w:t>
      </w:r>
    </w:p>
    <w:p w14:paraId="0D6E90EC">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477" w:name="_Toc150480785"/>
      <w:bookmarkStart w:id="478" w:name="_Toc149720840"/>
      <w:bookmarkStart w:id="479" w:name="_Toc264969237"/>
      <w:bookmarkStart w:id="480" w:name="_Toc226965737"/>
      <w:bookmarkStart w:id="481" w:name="_Toc151193717"/>
      <w:bookmarkStart w:id="482" w:name="_Toc164608661"/>
      <w:bookmarkStart w:id="483" w:name="_Toc164229388"/>
      <w:bookmarkStart w:id="484" w:name="_Toc195842912"/>
      <w:bookmarkStart w:id="485" w:name="_Toc226309791"/>
      <w:bookmarkStart w:id="486" w:name="_Toc226965820"/>
      <w:bookmarkStart w:id="487" w:name="_Toc151190174"/>
      <w:bookmarkStart w:id="488" w:name="_Toc127151748"/>
      <w:bookmarkStart w:id="489" w:name="_Toc150774752"/>
      <w:bookmarkStart w:id="490" w:name="_Toc151193645"/>
      <w:bookmarkStart w:id="491" w:name="_Toc151193789"/>
      <w:bookmarkStart w:id="492" w:name="_Toc305158889"/>
      <w:bookmarkStart w:id="493" w:name="_Toc127151547"/>
      <w:bookmarkStart w:id="494" w:name="_Toc127161461"/>
      <w:bookmarkStart w:id="495" w:name="_Toc164351641"/>
      <w:bookmarkStart w:id="496" w:name="_Toc150774647"/>
      <w:bookmarkStart w:id="497" w:name="_Toc305158815"/>
      <w:bookmarkStart w:id="498" w:name="_Toc265228385"/>
      <w:bookmarkStart w:id="499" w:name="_Toc226337243"/>
      <w:bookmarkStart w:id="500" w:name="_Toc142311049"/>
      <w:bookmarkStart w:id="501" w:name="_Toc164608816"/>
      <w:bookmarkStart w:id="502" w:name="_Toc150509298"/>
      <w:bookmarkStart w:id="503" w:name="_Toc151193935"/>
      <w:bookmarkStart w:id="504" w:name="_Toc151193861"/>
      <w:bookmarkStart w:id="505" w:name="_Toc164229242"/>
      <w:r>
        <w:rPr>
          <w:color w:val="000000" w:themeColor="text1"/>
          <w:sz w:val="24"/>
          <w:highlight w:val="none"/>
          <w14:textFill>
            <w14:solidFill>
              <w14:schemeClr w14:val="tx1"/>
            </w14:solidFill>
          </w14:textFill>
        </w:rPr>
        <w:t>确定成交供应商</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6BE045B5">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采购人将在收到评审报告后，从评审报告提出的成交候选供应商中，按照排序由高到低的原则确定成交供应商</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成交候选人并列的，由采购人</w:t>
      </w:r>
      <w:r>
        <w:rPr>
          <w:rFonts w:hint="eastAsia"/>
          <w:color w:val="000000" w:themeColor="text1"/>
          <w:sz w:val="24"/>
          <w:highlight w:val="none"/>
          <w14:textFill>
            <w14:solidFill>
              <w14:schemeClr w14:val="tx1"/>
            </w14:solidFill>
          </w14:textFill>
        </w:rPr>
        <w:t>依法</w:t>
      </w:r>
      <w:r>
        <w:rPr>
          <w:color w:val="000000" w:themeColor="text1"/>
          <w:sz w:val="24"/>
          <w:highlight w:val="none"/>
          <w14:textFill>
            <w14:solidFill>
              <w14:schemeClr w14:val="tx1"/>
            </w14:solidFill>
          </w14:textFill>
        </w:rPr>
        <w:t>确定。</w:t>
      </w:r>
    </w:p>
    <w:p w14:paraId="1D4140B8">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506" w:name="_Toc305158817"/>
      <w:bookmarkStart w:id="507" w:name="_Toc305158891"/>
      <w:bookmarkStart w:id="508" w:name="_Toc151193719"/>
      <w:bookmarkStart w:id="509" w:name="_Toc150774754"/>
      <w:bookmarkStart w:id="510" w:name="_Toc264969239"/>
      <w:bookmarkStart w:id="511" w:name="_Toc164608818"/>
      <w:bookmarkStart w:id="512" w:name="_Toc142311051"/>
      <w:bookmarkStart w:id="513" w:name="_Toc195842914"/>
      <w:bookmarkStart w:id="514" w:name="_Toc226337245"/>
      <w:bookmarkStart w:id="515" w:name="_Toc164608663"/>
      <w:bookmarkStart w:id="516" w:name="_Toc151193647"/>
      <w:bookmarkStart w:id="517" w:name="_Toc151190176"/>
      <w:bookmarkStart w:id="518" w:name="_Toc226965739"/>
      <w:bookmarkStart w:id="519" w:name="_Toc151193791"/>
      <w:bookmarkStart w:id="520" w:name="_Toc164229390"/>
      <w:bookmarkStart w:id="521" w:name="_Toc151193937"/>
      <w:bookmarkStart w:id="522" w:name="_Toc150774649"/>
      <w:bookmarkStart w:id="523" w:name="_Toc127151750"/>
      <w:bookmarkStart w:id="524" w:name="_Toc150509300"/>
      <w:bookmarkStart w:id="525" w:name="_Toc265228387"/>
      <w:bookmarkStart w:id="526" w:name="_Toc164351643"/>
      <w:bookmarkStart w:id="527" w:name="_Toc150480787"/>
      <w:bookmarkStart w:id="528" w:name="_Toc226965822"/>
      <w:bookmarkStart w:id="529" w:name="_Toc127151549"/>
      <w:bookmarkStart w:id="530" w:name="_Toc164229244"/>
      <w:bookmarkStart w:id="531" w:name="_Toc151193863"/>
      <w:bookmarkStart w:id="532" w:name="_Toc127161463"/>
      <w:bookmarkStart w:id="533" w:name="_Toc226309793"/>
      <w:bookmarkStart w:id="534" w:name="_Toc149720842"/>
      <w:bookmarkStart w:id="535" w:name="_Toc520356176"/>
      <w:bookmarkStart w:id="536" w:name="_Ref467306425"/>
      <w:bookmarkStart w:id="537" w:name="_Ref467307090"/>
      <w:r>
        <w:rPr>
          <w:color w:val="000000" w:themeColor="text1"/>
          <w:sz w:val="24"/>
          <w:highlight w:val="none"/>
          <w14:textFill>
            <w14:solidFill>
              <w14:schemeClr w14:val="tx1"/>
            </w14:solidFill>
          </w14:textFill>
        </w:rPr>
        <w:t>成交公告与成交通知书</w:t>
      </w:r>
      <w:bookmarkEnd w:id="506"/>
      <w:bookmarkEnd w:id="507"/>
    </w:p>
    <w:p w14:paraId="59EBF2F6">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采购人或采购代理机构将在成交供应商确定后2个工作日内，在</w:t>
      </w:r>
      <w:r>
        <w:rPr>
          <w:rFonts w:hint="eastAsia"/>
          <w:color w:val="000000" w:themeColor="text1"/>
          <w:sz w:val="24"/>
          <w:highlight w:val="none"/>
          <w14:textFill>
            <w14:solidFill>
              <w14:schemeClr w14:val="tx1"/>
            </w14:solidFill>
          </w14:textFill>
        </w:rPr>
        <w:t>常州市政府采购网</w:t>
      </w:r>
      <w:r>
        <w:rPr>
          <w:color w:val="000000" w:themeColor="text1"/>
          <w:sz w:val="24"/>
          <w:highlight w:val="none"/>
          <w14:textFill>
            <w14:solidFill>
              <w14:schemeClr w14:val="tx1"/>
            </w14:solidFill>
          </w14:textFill>
        </w:rPr>
        <w:t>公告成交结果，同时向成交供应商发出成交通知书，成交公告期限为1个工作日。</w:t>
      </w:r>
    </w:p>
    <w:p w14:paraId="49962484">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成交通知书是合同的组成部分，对采购人和成交供应商具有同等法律效力。成交通知书发出后，采购人改变成交结果的，或者成交供应商放弃成交项目的，将依法承担法律责任</w:t>
      </w:r>
      <w:r>
        <w:rPr>
          <w:rFonts w:hint="eastAsia"/>
          <w:color w:val="000000" w:themeColor="text1"/>
          <w:sz w:val="24"/>
          <w:highlight w:val="none"/>
          <w14:textFill>
            <w14:solidFill>
              <w14:schemeClr w14:val="tx1"/>
            </w14:solidFill>
          </w14:textFill>
        </w:rPr>
        <w:t>。</w:t>
      </w:r>
    </w:p>
    <w:p w14:paraId="1D2DC7AC">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终止</w:t>
      </w:r>
    </w:p>
    <w:p w14:paraId="66BFA253">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在采购中，出现下列情形之一的，采购人或采购代理机构将终止竞争性磋商采购活动，发布项目终止公告并说明原因，重新开展采购活动：</w:t>
      </w:r>
    </w:p>
    <w:p w14:paraId="2E15CC0F">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因情况变化，不再符合规定的竞争性磋商采购方式适用情形的；</w:t>
      </w:r>
    </w:p>
    <w:p w14:paraId="1365E075">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出现影响采购公正的违法、违规行为的；</w:t>
      </w:r>
    </w:p>
    <w:p w14:paraId="3DC43E3E">
      <w:pPr>
        <w:numPr>
          <w:ilvl w:val="2"/>
          <w:numId w:val="9"/>
        </w:numPr>
        <w:spacing w:line="360" w:lineRule="auto"/>
        <w:rPr>
          <w:rFonts w:hint="eastAsia"/>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03AAAC33">
      <w:pPr>
        <w:numPr>
          <w:ilvl w:val="2"/>
          <w:numId w:val="9"/>
        </w:numPr>
        <w:spacing w:line="360" w:lineRule="auto"/>
        <w:rPr>
          <w:color w:val="000000" w:themeColor="text1"/>
          <w:sz w:val="24"/>
          <w:highlight w:val="none"/>
          <w14:textFill>
            <w14:solidFill>
              <w14:schemeClr w14:val="tx1"/>
            </w14:solidFill>
          </w14:textFill>
        </w:rPr>
      </w:pPr>
      <w:r>
        <w:rPr>
          <w:rFonts w:hint="eastAsia" w:ascii="宋体" w:hAnsi="宋体"/>
          <w:color w:val="000000" w:themeColor="text1"/>
          <w:spacing w:val="2"/>
          <w:sz w:val="24"/>
          <w:highlight w:val="none"/>
          <w14:textFill>
            <w14:solidFill>
              <w14:schemeClr w14:val="tx1"/>
            </w14:solidFill>
          </w14:textFill>
        </w:rPr>
        <w:t>平台系统</w:t>
      </w:r>
      <w:r>
        <w:rPr>
          <w:rFonts w:ascii="宋体" w:hAnsi="宋体"/>
          <w:color w:val="000000" w:themeColor="text1"/>
          <w:sz w:val="24"/>
          <w:highlight w:val="none"/>
          <w14:textFill>
            <w14:solidFill>
              <w14:schemeClr w14:val="tx1"/>
            </w14:solidFill>
          </w14:textFill>
        </w:rPr>
        <w:t>出现</w:t>
      </w:r>
      <w:r>
        <w:rPr>
          <w:rFonts w:hint="eastAsia" w:ascii="宋体" w:hAnsi="宋体"/>
          <w:color w:val="000000" w:themeColor="text1"/>
          <w:sz w:val="24"/>
          <w:highlight w:val="none"/>
          <w14:textFill>
            <w14:solidFill>
              <w14:schemeClr w14:val="tx1"/>
            </w14:solidFill>
          </w14:textFill>
        </w:rPr>
        <w:t>序号17.7的所述</w:t>
      </w:r>
      <w:r>
        <w:rPr>
          <w:rFonts w:ascii="宋体" w:hAnsi="宋体"/>
          <w:color w:val="000000" w:themeColor="text1"/>
          <w:sz w:val="24"/>
          <w:highlight w:val="none"/>
          <w14:textFill>
            <w14:solidFill>
              <w14:schemeClr w14:val="tx1"/>
            </w14:solidFill>
          </w14:textFill>
        </w:rPr>
        <w:t>情形，</w:t>
      </w:r>
      <w:r>
        <w:rPr>
          <w:rFonts w:hint="eastAsia" w:ascii="宋体" w:hAnsi="宋体"/>
          <w:color w:val="000000" w:themeColor="text1"/>
          <w:sz w:val="24"/>
          <w:highlight w:val="none"/>
          <w14:textFill>
            <w14:solidFill>
              <w14:schemeClr w14:val="tx1"/>
            </w14:solidFill>
          </w14:textFill>
        </w:rPr>
        <w:t>情况严重且</w:t>
      </w:r>
      <w:r>
        <w:rPr>
          <w:rFonts w:ascii="宋体" w:hAnsi="宋体"/>
          <w:color w:val="000000" w:themeColor="text1"/>
          <w:sz w:val="24"/>
          <w:highlight w:val="none"/>
          <w14:textFill>
            <w14:solidFill>
              <w14:schemeClr w14:val="tx1"/>
            </w14:solidFill>
          </w14:textFill>
        </w:rPr>
        <w:t>影响采购</w:t>
      </w:r>
      <w:r>
        <w:rPr>
          <w:rFonts w:hint="eastAsia" w:ascii="宋体" w:hAnsi="宋体"/>
          <w:color w:val="000000" w:themeColor="text1"/>
          <w:sz w:val="24"/>
          <w:highlight w:val="none"/>
          <w14:textFill>
            <w14:solidFill>
              <w14:schemeClr w14:val="tx1"/>
            </w14:solidFill>
          </w14:textFill>
        </w:rPr>
        <w:t>活动</w:t>
      </w:r>
      <w:r>
        <w:rPr>
          <w:rFonts w:ascii="宋体" w:hAnsi="宋体"/>
          <w:color w:val="000000" w:themeColor="text1"/>
          <w:sz w:val="24"/>
          <w:highlight w:val="none"/>
          <w14:textFill>
            <w14:solidFill>
              <w14:schemeClr w14:val="tx1"/>
            </w14:solidFill>
          </w14:textFill>
        </w:rPr>
        <w:t>公平、公正性的</w:t>
      </w:r>
      <w:r>
        <w:rPr>
          <w:rFonts w:hint="eastAsia" w:ascii="宋体" w:hAnsi="宋体"/>
          <w:color w:val="000000" w:themeColor="text1"/>
          <w:sz w:val="24"/>
          <w:highlight w:val="none"/>
          <w14:textFill>
            <w14:solidFill>
              <w14:schemeClr w14:val="tx1"/>
            </w14:solidFill>
          </w14:textFill>
        </w:rPr>
        <w:t>。</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14:paraId="74182B40">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538" w:name="_Toc150774755"/>
      <w:bookmarkStart w:id="539" w:name="_Toc149720843"/>
      <w:bookmarkStart w:id="540" w:name="_Toc127161464"/>
      <w:bookmarkStart w:id="541" w:name="_Toc150480788"/>
      <w:bookmarkStart w:id="542" w:name="_Toc226337246"/>
      <w:bookmarkStart w:id="543" w:name="_Toc151193938"/>
      <w:bookmarkStart w:id="544" w:name="_Toc520356175"/>
      <w:bookmarkStart w:id="545" w:name="_Toc151193792"/>
      <w:bookmarkStart w:id="546" w:name="_Toc127151550"/>
      <w:bookmarkStart w:id="547" w:name="_Toc226965823"/>
      <w:bookmarkStart w:id="548" w:name="_Ref467307204"/>
      <w:bookmarkStart w:id="549" w:name="_Toc151193648"/>
      <w:bookmarkStart w:id="550" w:name="_Ref467306377"/>
      <w:bookmarkStart w:id="551" w:name="_Toc151193864"/>
      <w:bookmarkStart w:id="552" w:name="_Toc305158818"/>
      <w:bookmarkStart w:id="553" w:name="_Toc164229245"/>
      <w:bookmarkStart w:id="554" w:name="_Toc151193720"/>
      <w:bookmarkStart w:id="555" w:name="_Toc151190177"/>
      <w:bookmarkStart w:id="556" w:name="_Ref467306978"/>
      <w:bookmarkStart w:id="557" w:name="_Toc195842915"/>
      <w:bookmarkStart w:id="558" w:name="_Toc150509301"/>
      <w:bookmarkStart w:id="559" w:name="_Toc305158892"/>
      <w:bookmarkStart w:id="560" w:name="_Toc142311052"/>
      <w:bookmarkStart w:id="561" w:name="_Toc226309794"/>
      <w:bookmarkStart w:id="562" w:name="_Toc127151751"/>
      <w:bookmarkStart w:id="563" w:name="_Toc264969240"/>
      <w:bookmarkStart w:id="564" w:name="_Toc164608664"/>
      <w:bookmarkStart w:id="565" w:name="_Toc150774650"/>
      <w:bookmarkStart w:id="566" w:name="_Toc226965740"/>
      <w:bookmarkStart w:id="567" w:name="_Toc164351644"/>
      <w:bookmarkStart w:id="568" w:name="_Toc164608819"/>
      <w:bookmarkStart w:id="569" w:name="_Ref467307062"/>
      <w:bookmarkStart w:id="570" w:name="_Toc164229391"/>
      <w:bookmarkStart w:id="571" w:name="_Toc265228388"/>
      <w:r>
        <w:rPr>
          <w:color w:val="000000" w:themeColor="text1"/>
          <w:sz w:val="24"/>
          <w:highlight w:val="none"/>
          <w14:textFill>
            <w14:solidFill>
              <w14:schemeClr w14:val="tx1"/>
            </w14:solidFill>
          </w14:textFill>
        </w:rPr>
        <w:t>签订合同</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14:paraId="44619051">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采购人与成交供应商将在成交通知书发出之日起30日内，按照磋商文件确定的合同文本以及采购标的、规格型号、采购金额、采购数量、技术和服务要求等事项签订政府采购合同。</w:t>
      </w:r>
    </w:p>
    <w:p w14:paraId="7034C6C6">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26204AA3">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联合体获得成交资格的，联合体各方应当共同与采购人签订合同，就成交项目向采购人承担连带责任。</w:t>
      </w:r>
    </w:p>
    <w:p w14:paraId="2FD27036">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政府采购合同不能转包。</w:t>
      </w:r>
    </w:p>
    <w:p w14:paraId="3A24F4A1">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采购人允许采用分包方式履行合同的，成交供应商可以依法采取分包方式履行合同。本项目</w:t>
      </w:r>
      <w:r>
        <w:rPr>
          <w:rFonts w:hint="eastAsia"/>
          <w:color w:val="000000" w:themeColor="text1"/>
          <w:sz w:val="24"/>
          <w:highlight w:val="none"/>
          <w14:textFill>
            <w14:solidFill>
              <w14:schemeClr w14:val="tx1"/>
            </w14:solidFill>
          </w14:textFill>
        </w:rPr>
        <w:t>是</w:t>
      </w:r>
      <w:r>
        <w:rPr>
          <w:color w:val="000000" w:themeColor="text1"/>
          <w:sz w:val="24"/>
          <w:highlight w:val="none"/>
          <w14:textFill>
            <w14:solidFill>
              <w14:schemeClr w14:val="tx1"/>
            </w14:solidFill>
          </w14:textFill>
        </w:rPr>
        <w:t>否允许分包，见《供应商须知资料表》。政府采购合同分包履行的，应当在响应文件中载明分包承担主体，分包承担主体应当具备相应资质条件且不得再次分包，</w:t>
      </w:r>
      <w:r>
        <w:rPr>
          <w:b/>
          <w:color w:val="000000" w:themeColor="text1"/>
          <w:sz w:val="24"/>
          <w:highlight w:val="none"/>
          <w14:textFill>
            <w14:solidFill>
              <w14:schemeClr w14:val="tx1"/>
            </w14:solidFill>
          </w14:textFill>
        </w:rPr>
        <w:t>否则响应无效</w:t>
      </w:r>
      <w:r>
        <w:rPr>
          <w:color w:val="000000" w:themeColor="text1"/>
          <w:sz w:val="24"/>
          <w:highlight w:val="none"/>
          <w14:textFill>
            <w14:solidFill>
              <w14:schemeClr w14:val="tx1"/>
            </w14:solidFill>
          </w14:textFill>
        </w:rPr>
        <w:t>。成交供应商就采购项目和分包项目向采购人负责，分包供应商就分包项目承担责任。</w:t>
      </w:r>
      <w:bookmarkEnd w:id="535"/>
      <w:bookmarkEnd w:id="536"/>
      <w:bookmarkEnd w:id="537"/>
    </w:p>
    <w:p w14:paraId="4F69FBBE">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询问与质疑</w:t>
      </w:r>
    </w:p>
    <w:p w14:paraId="09205E1B">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询问</w:t>
      </w:r>
    </w:p>
    <w:p w14:paraId="05FE341E">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供应商对政府采购活动事项有疑问的，可依法提出询问，并按《供应商须知资料表》载明的形式送达采购人或采购代理机构。</w:t>
      </w:r>
    </w:p>
    <w:p w14:paraId="1AE43CDC">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采购人或采购代理机构对供应商依法提出的询问，在3个工作日内作出答复，但答复的内容不得涉及商业秘密。</w:t>
      </w:r>
    </w:p>
    <w:p w14:paraId="6EC01548">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质疑</w:t>
      </w:r>
    </w:p>
    <w:p w14:paraId="2EED08B1">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68EA4EFC">
      <w:pPr>
        <w:numPr>
          <w:ilvl w:val="2"/>
          <w:numId w:val="9"/>
        </w:numPr>
        <w:spacing w:line="360" w:lineRule="auto"/>
        <w:rPr>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磋商文件</w:t>
      </w:r>
      <w:r>
        <w:rPr>
          <w:rFonts w:hint="eastAsia" w:ascii="宋体" w:hAnsi="宋体"/>
          <w:b/>
          <w:color w:val="000000" w:themeColor="text1"/>
          <w:sz w:val="24"/>
          <w:highlight w:val="none"/>
          <w14:textFill>
            <w14:solidFill>
              <w14:schemeClr w14:val="tx1"/>
            </w14:solidFill>
          </w14:textFill>
        </w:rPr>
        <w:t>中采购需求以及相关部分（第四章、第五章以及供应商资格要求）由采购人负责制定和管理，对该部分内容有询问或者质疑的，供应商应当向采购人书面提出，由采购人负责接收和回复。</w:t>
      </w:r>
    </w:p>
    <w:p w14:paraId="13381D00">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质疑函须使用财政部制定的范本文件。</w:t>
      </w:r>
      <w:r>
        <w:rPr>
          <w:rFonts w:hint="eastAsia"/>
          <w:color w:val="000000" w:themeColor="text1"/>
          <w:sz w:val="24"/>
          <w:highlight w:val="none"/>
          <w14:textFill>
            <w14:solidFill>
              <w14:schemeClr w14:val="tx1"/>
            </w14:solidFill>
          </w14:textFill>
        </w:rPr>
        <w:t>（下载网址：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"http://gks.mof.gov.cn/ztztz/zhengfucaigouguanli/201802/t20180201_2804589.htm" </w:instrText>
      </w:r>
      <w:r>
        <w:rPr>
          <w:color w:val="000000" w:themeColor="text1"/>
          <w:highlight w:val="none"/>
          <w14:textFill>
            <w14:solidFill>
              <w14:schemeClr w14:val="tx1"/>
            </w14:solidFill>
          </w14:textFill>
        </w:rPr>
        <w:fldChar w:fldCharType="separate"/>
      </w:r>
      <w:r>
        <w:rPr>
          <w:rStyle w:val="264"/>
          <w:color w:val="000000" w:themeColor="text1"/>
          <w:highlight w:val="none"/>
          <w14:textFill>
            <w14:solidFill>
              <w14:schemeClr w14:val="tx1"/>
            </w14:solidFill>
          </w14:textFill>
        </w:rPr>
        <w:t>http://gk</w:t>
      </w:r>
      <w:bookmarkStart w:id="572" w:name="_Hlt100654014"/>
      <w:r>
        <w:rPr>
          <w:rStyle w:val="264"/>
          <w:color w:val="000000" w:themeColor="text1"/>
          <w:highlight w:val="none"/>
          <w14:textFill>
            <w14:solidFill>
              <w14:schemeClr w14:val="tx1"/>
            </w14:solidFill>
          </w14:textFill>
        </w:rPr>
        <w:t>s</w:t>
      </w:r>
      <w:bookmarkEnd w:id="572"/>
      <w:r>
        <w:rPr>
          <w:rStyle w:val="264"/>
          <w:color w:val="000000" w:themeColor="text1"/>
          <w:highlight w:val="none"/>
          <w14:textFill>
            <w14:solidFill>
              <w14:schemeClr w14:val="tx1"/>
            </w14:solidFill>
          </w14:textFill>
        </w:rPr>
        <w:t>.m</w:t>
      </w:r>
      <w:bookmarkStart w:id="573" w:name="_Hlt100653994"/>
      <w:bookmarkStart w:id="574" w:name="_Hlt100653993"/>
      <w:r>
        <w:rPr>
          <w:rStyle w:val="264"/>
          <w:color w:val="000000" w:themeColor="text1"/>
          <w:highlight w:val="none"/>
          <w14:textFill>
            <w14:solidFill>
              <w14:schemeClr w14:val="tx1"/>
            </w14:solidFill>
          </w14:textFill>
        </w:rPr>
        <w:t>o</w:t>
      </w:r>
      <w:bookmarkEnd w:id="573"/>
      <w:bookmarkEnd w:id="574"/>
      <w:bookmarkStart w:id="575" w:name="_Hlt101169156"/>
      <w:r>
        <w:rPr>
          <w:rStyle w:val="264"/>
          <w:color w:val="000000" w:themeColor="text1"/>
          <w:highlight w:val="none"/>
          <w14:textFill>
            <w14:solidFill>
              <w14:schemeClr w14:val="tx1"/>
            </w14:solidFill>
          </w14:textFill>
        </w:rPr>
        <w:t>f</w:t>
      </w:r>
      <w:bookmarkEnd w:id="575"/>
      <w:r>
        <w:rPr>
          <w:rStyle w:val="264"/>
          <w:color w:val="000000" w:themeColor="text1"/>
          <w:highlight w:val="none"/>
          <w14:textFill>
            <w14:solidFill>
              <w14:schemeClr w14:val="tx1"/>
            </w14:solidFill>
          </w14:textFill>
        </w:rPr>
        <w:t>.gov.cn/ztztz/zhengfucaigouguanli/201802/t20180201_2804589.htm</w:t>
      </w:r>
      <w:r>
        <w:rPr>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t>）</w:t>
      </w:r>
    </w:p>
    <w:p w14:paraId="2F6CB570">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供应商为自然人的，应当由本人签字；供应商为法人或者其他组织的，应当由法定代表人、主要负责人，或者其授权代表签字或者盖章，并加盖公章。</w:t>
      </w:r>
    </w:p>
    <w:p w14:paraId="25ACA98C">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供应商应在法定质疑期内一次性提出针对同一采购程序环节的质疑，法定质疑期内针对同一采购程序环节再次提出的质疑，采购人、采购代理机构有权不予答复。</w:t>
      </w:r>
    </w:p>
    <w:p w14:paraId="796301A4">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接收询问和质疑的联系部门、联系电话和通讯地址见《供应商须知资料表》</w:t>
      </w:r>
      <w:r>
        <w:rPr>
          <w:rFonts w:hint="eastAsia"/>
          <w:color w:val="000000" w:themeColor="text1"/>
          <w:sz w:val="24"/>
          <w:highlight w:val="none"/>
          <w14:textFill>
            <w14:solidFill>
              <w14:schemeClr w14:val="tx1"/>
            </w14:solidFill>
          </w14:textFill>
        </w:rPr>
        <w:t>。</w:t>
      </w:r>
    </w:p>
    <w:p w14:paraId="11AE5256">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代理费</w:t>
      </w:r>
    </w:p>
    <w:p w14:paraId="00D27232">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收费对象、收费标准及缴纳时间见《供应商须知资料表》。由成交供应商支付的，成交供应商须一次性向采购代理机构缴纳代理费，报价应包含代理费用。</w:t>
      </w:r>
    </w:p>
    <w:p w14:paraId="26AC656A">
      <w:pPr>
        <w:tabs>
          <w:tab w:val="left" w:pos="1080"/>
          <w:tab w:val="left" w:pos="2014"/>
        </w:tabs>
        <w:spacing w:line="360" w:lineRule="auto"/>
        <w:ind w:left="357"/>
        <w:rPr>
          <w:color w:val="000000" w:themeColor="text1"/>
          <w:sz w:val="24"/>
          <w:highlight w:val="none"/>
          <w14:textFill>
            <w14:solidFill>
              <w14:schemeClr w14:val="tx1"/>
            </w14:solidFill>
          </w14:textFill>
        </w:rPr>
      </w:pPr>
      <w:bookmarkStart w:id="576" w:name="_Toc305158896"/>
      <w:bookmarkStart w:id="577" w:name="_Toc226337250"/>
      <w:bookmarkStart w:id="578" w:name="_Toc142311056"/>
      <w:bookmarkStart w:id="579" w:name="_Toc226965827"/>
      <w:bookmarkStart w:id="580" w:name="_Toc305158822"/>
      <w:bookmarkStart w:id="581" w:name="_Toc353825544"/>
      <w:bookmarkStart w:id="582" w:name="_Toc150774759"/>
      <w:bookmarkStart w:id="583" w:name="_Toc353873664"/>
      <w:bookmarkStart w:id="584" w:name="_Toc264969244"/>
      <w:bookmarkStart w:id="585" w:name="_Toc150480792"/>
      <w:bookmarkStart w:id="586" w:name="_Toc265228392"/>
      <w:bookmarkStart w:id="587" w:name="_Toc127151554"/>
      <w:bookmarkStart w:id="588" w:name="_Toc353873934"/>
    </w:p>
    <w:p w14:paraId="6CD0D32D">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sectPr>
          <w:footerReference r:id="rId12" w:type="even"/>
          <w:pgSz w:w="11907" w:h="16840"/>
          <w:pgMar w:top="1417" w:right="1134" w:bottom="1417" w:left="1134" w:header="851" w:footer="851" w:gutter="0"/>
          <w:cols w:space="1701" w:num="1"/>
          <w:docGrid w:linePitch="360" w:charSpace="0"/>
        </w:sectPr>
      </w:pPr>
    </w:p>
    <w:p w14:paraId="03C6E277">
      <w:pPr>
        <w:spacing w:line="360" w:lineRule="auto"/>
        <w:jc w:val="center"/>
        <w:outlineLvl w:val="0"/>
        <w:rPr>
          <w:b/>
          <w:color w:val="000000" w:themeColor="text1"/>
          <w:sz w:val="36"/>
          <w:szCs w:val="36"/>
          <w:highlight w:val="none"/>
          <w14:textFill>
            <w14:solidFill>
              <w14:schemeClr w14:val="tx1"/>
            </w14:solidFill>
          </w14:textFill>
        </w:rPr>
      </w:pPr>
      <w:bookmarkStart w:id="589" w:name="_Toc104818927"/>
      <w:r>
        <w:rPr>
          <w:b/>
          <w:color w:val="000000" w:themeColor="text1"/>
          <w:sz w:val="36"/>
          <w:szCs w:val="36"/>
          <w:highlight w:val="none"/>
          <w14:textFill>
            <w14:solidFill>
              <w14:schemeClr w14:val="tx1"/>
            </w14:solidFill>
          </w14:textFill>
        </w:rPr>
        <w:t xml:space="preserve">第三章   </w:t>
      </w:r>
      <w:bookmarkEnd w:id="576"/>
      <w:bookmarkEnd w:id="577"/>
      <w:bookmarkEnd w:id="578"/>
      <w:bookmarkEnd w:id="579"/>
      <w:bookmarkEnd w:id="580"/>
      <w:bookmarkEnd w:id="581"/>
      <w:bookmarkEnd w:id="582"/>
      <w:bookmarkEnd w:id="583"/>
      <w:bookmarkEnd w:id="584"/>
      <w:bookmarkEnd w:id="585"/>
      <w:bookmarkEnd w:id="586"/>
      <w:bookmarkEnd w:id="587"/>
      <w:bookmarkEnd w:id="588"/>
      <w:r>
        <w:rPr>
          <w:b/>
          <w:color w:val="000000" w:themeColor="text1"/>
          <w:sz w:val="36"/>
          <w:szCs w:val="36"/>
          <w:highlight w:val="none"/>
          <w14:textFill>
            <w14:solidFill>
              <w14:schemeClr w14:val="tx1"/>
            </w14:solidFill>
          </w14:textFill>
        </w:rPr>
        <w:t>评审</w:t>
      </w:r>
      <w:r>
        <w:rPr>
          <w:rFonts w:hint="eastAsia"/>
          <w:b/>
          <w:color w:val="000000" w:themeColor="text1"/>
          <w:sz w:val="36"/>
          <w:szCs w:val="36"/>
          <w:highlight w:val="none"/>
          <w14:textFill>
            <w14:solidFill>
              <w14:schemeClr w14:val="tx1"/>
            </w14:solidFill>
          </w14:textFill>
        </w:rPr>
        <w:t>程序、评审</w:t>
      </w:r>
      <w:r>
        <w:rPr>
          <w:b/>
          <w:color w:val="000000" w:themeColor="text1"/>
          <w:sz w:val="36"/>
          <w:szCs w:val="36"/>
          <w:highlight w:val="none"/>
          <w14:textFill>
            <w14:solidFill>
              <w14:schemeClr w14:val="tx1"/>
            </w14:solidFill>
          </w14:textFill>
        </w:rPr>
        <w:t>方法和评审标准</w:t>
      </w:r>
      <w:bookmarkEnd w:id="589"/>
      <w:bookmarkStart w:id="590" w:name="_Toc487900382"/>
    </w:p>
    <w:p w14:paraId="35FC1F63">
      <w:pPr>
        <w:pStyle w:val="186"/>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一、</w:t>
      </w:r>
      <w:r>
        <w:rPr>
          <w:rFonts w:hint="eastAsia" w:ascii="Times New Roman" w:hAnsi="Times New Roman" w:eastAsia="宋体"/>
          <w:color w:val="000000" w:themeColor="text1"/>
          <w:sz w:val="24"/>
          <w:szCs w:val="24"/>
          <w:highlight w:val="none"/>
          <w14:textFill>
            <w14:solidFill>
              <w14:schemeClr w14:val="tx1"/>
            </w14:solidFill>
          </w14:textFill>
        </w:rPr>
        <w:t>评审</w:t>
      </w:r>
      <w:r>
        <w:rPr>
          <w:rFonts w:ascii="Times New Roman" w:hAnsi="Times New Roman" w:eastAsia="宋体"/>
          <w:color w:val="000000" w:themeColor="text1"/>
          <w:sz w:val="24"/>
          <w:szCs w:val="24"/>
          <w:highlight w:val="none"/>
          <w14:textFill>
            <w14:solidFill>
              <w14:schemeClr w14:val="tx1"/>
            </w14:solidFill>
          </w14:textFill>
        </w:rPr>
        <w:t>程序</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90"/>
    </w:p>
    <w:p w14:paraId="4B66F211">
      <w:pPr>
        <w:numPr>
          <w:ilvl w:val="0"/>
          <w:numId w:val="12"/>
        </w:numPr>
        <w:tabs>
          <w:tab w:val="left" w:pos="360"/>
        </w:tabs>
        <w:spacing w:line="360" w:lineRule="auto"/>
        <w:outlineLvl w:val="1"/>
        <w:rPr>
          <w:color w:val="000000" w:themeColor="text1"/>
          <w:sz w:val="24"/>
          <w:highlight w:val="none"/>
          <w14:textFill>
            <w14:solidFill>
              <w14:schemeClr w14:val="tx1"/>
            </w14:solidFill>
          </w14:textFill>
        </w:rPr>
      </w:pPr>
      <w:bookmarkStart w:id="591" w:name="_Toc164229236"/>
      <w:bookmarkStart w:id="592" w:name="_Toc127151742"/>
      <w:bookmarkStart w:id="593" w:name="_Toc142311043"/>
      <w:bookmarkStart w:id="594" w:name="_Toc305158883"/>
      <w:bookmarkStart w:id="595" w:name="_Toc226309785"/>
      <w:bookmarkStart w:id="596" w:name="_Toc164351635"/>
      <w:bookmarkStart w:id="597" w:name="_Toc151193929"/>
      <w:bookmarkStart w:id="598" w:name="_Toc226337237"/>
      <w:bookmarkStart w:id="599" w:name="_Toc150509292"/>
      <w:bookmarkStart w:id="600" w:name="_Toc151193639"/>
      <w:bookmarkStart w:id="601" w:name="_Toc127151541"/>
      <w:bookmarkStart w:id="602" w:name="_Toc305158809"/>
      <w:bookmarkStart w:id="603" w:name="_Toc149720834"/>
      <w:bookmarkStart w:id="604" w:name="_Toc127161455"/>
      <w:bookmarkStart w:id="605" w:name="_Toc226965731"/>
      <w:bookmarkStart w:id="606" w:name="_Toc264969231"/>
      <w:bookmarkStart w:id="607" w:name="_Toc226965814"/>
      <w:bookmarkStart w:id="608" w:name="_Toc164608810"/>
      <w:bookmarkStart w:id="609" w:name="_Toc151193855"/>
      <w:bookmarkStart w:id="610" w:name="_Toc150774746"/>
      <w:bookmarkStart w:id="611" w:name="_Toc151193783"/>
      <w:bookmarkStart w:id="612" w:name="_Toc151193711"/>
      <w:bookmarkStart w:id="613" w:name="_Toc265228379"/>
      <w:bookmarkStart w:id="614" w:name="_Toc150774641"/>
      <w:bookmarkStart w:id="615" w:name="_Toc150480779"/>
      <w:bookmarkStart w:id="616" w:name="_Toc164608655"/>
      <w:bookmarkStart w:id="617" w:name="_Toc151190168"/>
      <w:bookmarkStart w:id="618" w:name="_Toc164229382"/>
      <w:bookmarkStart w:id="619" w:name="_Toc195842906"/>
      <w:bookmarkStart w:id="620" w:name="_Toc353873941"/>
      <w:bookmarkStart w:id="621" w:name="_Toc353825551"/>
      <w:bookmarkStart w:id="622" w:name="_Toc195842920"/>
      <w:bookmarkStart w:id="623" w:name="_Toc226337251"/>
      <w:bookmarkStart w:id="624" w:name="_Toc150480793"/>
      <w:bookmarkStart w:id="625" w:name="_Toc127151555"/>
      <w:bookmarkStart w:id="626" w:name="_Toc265228393"/>
      <w:bookmarkStart w:id="627" w:name="_Toc353873935"/>
      <w:bookmarkStart w:id="628" w:name="_Toc150774760"/>
      <w:bookmarkStart w:id="629" w:name="_Toc305158823"/>
      <w:bookmarkStart w:id="630" w:name="_Toc142311057"/>
      <w:bookmarkStart w:id="631" w:name="_Toc264969245"/>
      <w:bookmarkStart w:id="632" w:name="_Toc353873665"/>
      <w:bookmarkStart w:id="633" w:name="_Toc353825545"/>
      <w:bookmarkStart w:id="634" w:name="_Toc305158897"/>
      <w:bookmarkStart w:id="635" w:name="_Toc226965828"/>
      <w:r>
        <w:rPr>
          <w:color w:val="000000" w:themeColor="text1"/>
          <w:sz w:val="24"/>
          <w:highlight w:val="none"/>
          <w14:textFill>
            <w14:solidFill>
              <w14:schemeClr w14:val="tx1"/>
            </w14:solidFill>
          </w14:textFill>
        </w:rPr>
        <w:t>响应文件的</w:t>
      </w:r>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r>
        <w:rPr>
          <w:color w:val="000000" w:themeColor="text1"/>
          <w:sz w:val="24"/>
          <w:highlight w:val="none"/>
          <w14:textFill>
            <w14:solidFill>
              <w14:schemeClr w14:val="tx1"/>
            </w14:solidFill>
          </w14:textFill>
        </w:rPr>
        <w:t>资格性检查和符合性审查</w:t>
      </w:r>
    </w:p>
    <w:p w14:paraId="04284AD7">
      <w:pPr>
        <w:numPr>
          <w:ilvl w:val="1"/>
          <w:numId w:val="12"/>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themeColor="text1"/>
          <w:sz w:val="24"/>
          <w:highlight w:val="none"/>
          <w14:textFill>
            <w14:solidFill>
              <w14:schemeClr w14:val="tx1"/>
            </w14:solidFill>
          </w14:textFill>
        </w:rPr>
        <w:t>无效响应</w:t>
      </w:r>
      <w:r>
        <w:rPr>
          <w:color w:val="000000" w:themeColor="text1"/>
          <w:sz w:val="24"/>
          <w:highlight w:val="none"/>
          <w14:textFill>
            <w14:solidFill>
              <w14:schemeClr w14:val="tx1"/>
            </w14:solidFill>
          </w14:textFill>
        </w:rPr>
        <w:t>处理，磋商小组应当告知提交响应文件的供应商。</w:t>
      </w:r>
    </w:p>
    <w:p w14:paraId="6066051D">
      <w:pPr>
        <w:numPr>
          <w:ilvl w:val="1"/>
          <w:numId w:val="12"/>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《资格性检查要求》中对格式有要求的，除竞争性磋商文件另有规定外，均为“实质性格式”文件。</w:t>
      </w:r>
    </w:p>
    <w:p w14:paraId="07B04069">
      <w:pPr>
        <w:numPr>
          <w:ilvl w:val="1"/>
          <w:numId w:val="12"/>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《资格性检查要求》见下表：</w:t>
      </w:r>
    </w:p>
    <w:p w14:paraId="243C52CC">
      <w:pPr>
        <w:tabs>
          <w:tab w:val="left" w:pos="900"/>
          <w:tab w:val="left" w:pos="1080"/>
        </w:tabs>
        <w:spacing w:line="360" w:lineRule="auto"/>
        <w:ind w:left="1077" w:firstLine="2650"/>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资格性检查要求</w:t>
      </w:r>
    </w:p>
    <w:tbl>
      <w:tblPr>
        <w:tblStyle w:val="30"/>
        <w:tblW w:w="93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1"/>
        <w:gridCol w:w="1620"/>
        <w:gridCol w:w="5342"/>
        <w:gridCol w:w="1750"/>
      </w:tblGrid>
      <w:tr w14:paraId="445A6E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blHeader/>
        </w:trPr>
        <w:tc>
          <w:tcPr>
            <w:tcW w:w="342" w:type="dxa"/>
            <w:noWrap w:val="0"/>
            <w:vAlign w:val="center"/>
          </w:tcPr>
          <w:p w14:paraId="4C1EBD8E">
            <w:pPr>
              <w:tabs>
                <w:tab w:val="left" w:pos="1080"/>
              </w:tabs>
              <w:jc w:val="center"/>
              <w:rPr>
                <w:b/>
                <w:color w:val="000000" w:themeColor="text1"/>
                <w:sz w:val="24"/>
                <w:highlight w:val="none"/>
                <w14:textFill>
                  <w14:solidFill>
                    <w14:schemeClr w14:val="tx1"/>
                  </w14:solidFill>
                </w14:textFill>
              </w:rPr>
            </w:pPr>
            <w:bookmarkStart w:id="636" w:name="_Hlt487972895"/>
            <w:bookmarkEnd w:id="636"/>
            <w:r>
              <w:rPr>
                <w:b/>
                <w:color w:val="000000" w:themeColor="text1"/>
                <w:sz w:val="24"/>
                <w:highlight w:val="none"/>
                <w14:textFill>
                  <w14:solidFill>
                    <w14:schemeClr w14:val="tx1"/>
                  </w14:solidFill>
                </w14:textFill>
              </w:rPr>
              <w:t>序号</w:t>
            </w:r>
          </w:p>
        </w:tc>
        <w:tc>
          <w:tcPr>
            <w:tcW w:w="866" w:type="dxa"/>
            <w:noWrap w:val="0"/>
            <w:vAlign w:val="center"/>
          </w:tcPr>
          <w:p w14:paraId="48F400B4">
            <w:pPr>
              <w:tabs>
                <w:tab w:val="left" w:pos="10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审查因素</w:t>
            </w:r>
          </w:p>
        </w:tc>
        <w:tc>
          <w:tcPr>
            <w:tcW w:w="2855" w:type="dxa"/>
            <w:noWrap w:val="0"/>
            <w:vAlign w:val="center"/>
          </w:tcPr>
          <w:p w14:paraId="0B0F98BE">
            <w:pPr>
              <w:tabs>
                <w:tab w:val="left" w:pos="10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审查内容</w:t>
            </w:r>
          </w:p>
        </w:tc>
        <w:tc>
          <w:tcPr>
            <w:tcW w:w="935" w:type="dxa"/>
            <w:noWrap w:val="0"/>
            <w:vAlign w:val="center"/>
          </w:tcPr>
          <w:p w14:paraId="406BBE1D">
            <w:pPr>
              <w:tabs>
                <w:tab w:val="left" w:pos="10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格式要求</w:t>
            </w:r>
          </w:p>
        </w:tc>
      </w:tr>
      <w:tr w14:paraId="60A26B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42" w:type="dxa"/>
            <w:noWrap w:val="0"/>
            <w:vAlign w:val="center"/>
          </w:tcPr>
          <w:p w14:paraId="4A5C7875">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p>
        </w:tc>
        <w:tc>
          <w:tcPr>
            <w:tcW w:w="866" w:type="dxa"/>
            <w:noWrap w:val="0"/>
            <w:vAlign w:val="center"/>
          </w:tcPr>
          <w:p w14:paraId="4A245A00">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满足《中华人民共和国政府采购法》第二十二条规定及法律法规的其他规定</w:t>
            </w:r>
          </w:p>
        </w:tc>
        <w:tc>
          <w:tcPr>
            <w:tcW w:w="2855" w:type="dxa"/>
            <w:noWrap w:val="0"/>
            <w:vAlign w:val="center"/>
          </w:tcPr>
          <w:p w14:paraId="7AD71172">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具体规定见第一章《采购邀请》</w:t>
            </w:r>
          </w:p>
        </w:tc>
        <w:tc>
          <w:tcPr>
            <w:tcW w:w="935" w:type="dxa"/>
            <w:noWrap w:val="0"/>
            <w:vAlign w:val="center"/>
          </w:tcPr>
          <w:p w14:paraId="0E4FD189">
            <w:pPr>
              <w:tabs>
                <w:tab w:val="left" w:pos="1080"/>
              </w:tabs>
              <w:rPr>
                <w:color w:val="000000" w:themeColor="text1"/>
                <w:sz w:val="24"/>
                <w:highlight w:val="none"/>
                <w14:textFill>
                  <w14:solidFill>
                    <w14:schemeClr w14:val="tx1"/>
                  </w14:solidFill>
                </w14:textFill>
              </w:rPr>
            </w:pPr>
          </w:p>
        </w:tc>
      </w:tr>
      <w:tr w14:paraId="4F3D2F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342" w:type="dxa"/>
            <w:noWrap w:val="0"/>
            <w:vAlign w:val="center"/>
          </w:tcPr>
          <w:p w14:paraId="26A31827">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w:t>
            </w:r>
          </w:p>
        </w:tc>
        <w:tc>
          <w:tcPr>
            <w:tcW w:w="866" w:type="dxa"/>
            <w:noWrap w:val="0"/>
            <w:vAlign w:val="center"/>
          </w:tcPr>
          <w:p w14:paraId="395DB48B">
            <w:pPr>
              <w:tabs>
                <w:tab w:val="left" w:pos="1080"/>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供应商资格声明函</w:t>
            </w:r>
          </w:p>
        </w:tc>
        <w:tc>
          <w:tcPr>
            <w:tcW w:w="2855" w:type="dxa"/>
            <w:noWrap w:val="0"/>
            <w:vAlign w:val="center"/>
          </w:tcPr>
          <w:p w14:paraId="31DC4356">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提供了符合</w:t>
            </w:r>
            <w:r>
              <w:rPr>
                <w:rFonts w:hint="eastAsia"/>
                <w:color w:val="000000" w:themeColor="text1"/>
                <w:sz w:val="24"/>
                <w:highlight w:val="none"/>
                <w14:textFill>
                  <w14:solidFill>
                    <w14:schemeClr w14:val="tx1"/>
                  </w14:solidFill>
                </w14:textFill>
              </w:rPr>
              <w:t>采购</w:t>
            </w:r>
            <w:r>
              <w:rPr>
                <w:color w:val="000000" w:themeColor="text1"/>
                <w:sz w:val="24"/>
                <w:highlight w:val="none"/>
                <w14:textFill>
                  <w14:solidFill>
                    <w14:schemeClr w14:val="tx1"/>
                  </w14:solidFill>
                </w14:textFill>
              </w:rPr>
              <w:t>文件要求的《</w:t>
            </w:r>
            <w:r>
              <w:rPr>
                <w:rFonts w:hint="eastAsia"/>
                <w:color w:val="000000" w:themeColor="text1"/>
                <w:sz w:val="24"/>
                <w:highlight w:val="none"/>
                <w14:textFill>
                  <w14:solidFill>
                    <w14:schemeClr w14:val="tx1"/>
                  </w14:solidFill>
                </w14:textFill>
              </w:rPr>
              <w:t>供应商资格声明函</w:t>
            </w:r>
            <w:r>
              <w:rPr>
                <w:color w:val="000000" w:themeColor="text1"/>
                <w:sz w:val="24"/>
                <w:highlight w:val="none"/>
                <w14:textFill>
                  <w14:solidFill>
                    <w14:schemeClr w14:val="tx1"/>
                  </w14:solidFill>
                </w14:textFill>
              </w:rPr>
              <w:t>》。</w:t>
            </w:r>
          </w:p>
        </w:tc>
        <w:tc>
          <w:tcPr>
            <w:tcW w:w="935" w:type="dxa"/>
            <w:noWrap w:val="0"/>
            <w:vAlign w:val="center"/>
          </w:tcPr>
          <w:p w14:paraId="66304ACC">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格式见《</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文件格式》</w:t>
            </w:r>
          </w:p>
        </w:tc>
      </w:tr>
      <w:tr w14:paraId="1FD5AA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42" w:type="dxa"/>
            <w:noWrap w:val="0"/>
            <w:vAlign w:val="center"/>
          </w:tcPr>
          <w:p w14:paraId="28528F63">
            <w:pPr>
              <w:tabs>
                <w:tab w:val="left" w:pos="1080"/>
              </w:tabs>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2</w:t>
            </w:r>
          </w:p>
        </w:tc>
        <w:tc>
          <w:tcPr>
            <w:tcW w:w="866" w:type="dxa"/>
            <w:noWrap w:val="0"/>
            <w:vAlign w:val="center"/>
          </w:tcPr>
          <w:p w14:paraId="03E1BADE">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供应商信用记录</w:t>
            </w:r>
          </w:p>
        </w:tc>
        <w:tc>
          <w:tcPr>
            <w:tcW w:w="2855" w:type="dxa"/>
            <w:noWrap w:val="0"/>
            <w:vAlign w:val="center"/>
          </w:tcPr>
          <w:p w14:paraId="69327121">
            <w:pPr>
              <w:tabs>
                <w:tab w:val="left" w:pos="900"/>
                <w:tab w:val="left" w:pos="19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查询渠道：信用中国网站和中国政府采购网（www.creditchina.gov.cn、www.ccgp.gov.cn）；</w:t>
            </w:r>
          </w:p>
          <w:p w14:paraId="2926E5DD">
            <w:pPr>
              <w:tabs>
                <w:tab w:val="left" w:pos="900"/>
                <w:tab w:val="left" w:pos="19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截止时点：提交响应文件截止时间以后、</w:t>
            </w:r>
            <w:r>
              <w:rPr>
                <w:rFonts w:hint="eastAsia"/>
                <w:color w:val="000000" w:themeColor="text1"/>
                <w:sz w:val="24"/>
                <w:highlight w:val="none"/>
                <w14:textFill>
                  <w14:solidFill>
                    <w14:schemeClr w14:val="tx1"/>
                  </w14:solidFill>
                </w14:textFill>
              </w:rPr>
              <w:t>资格审查阶段采购人或采购代理机构</w:t>
            </w:r>
            <w:r>
              <w:rPr>
                <w:color w:val="000000" w:themeColor="text1"/>
                <w:sz w:val="24"/>
                <w:highlight w:val="none"/>
                <w14:textFill>
                  <w14:solidFill>
                    <w14:schemeClr w14:val="tx1"/>
                  </w14:solidFill>
                </w14:textFill>
              </w:rPr>
              <w:t>的实际查询时间；</w:t>
            </w:r>
          </w:p>
          <w:p w14:paraId="710A328E">
            <w:pPr>
              <w:tabs>
                <w:tab w:val="left" w:pos="900"/>
                <w:tab w:val="left" w:pos="19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信用信息查询记录和证据留存具体方式：查询结果网页打印页作为查询记录和证据，与其他采购文件一并保存；</w:t>
            </w:r>
          </w:p>
          <w:p w14:paraId="7B8DC599">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信用信息的使用原则：经认定的被列入失信被执行人、重大税收违法案件当事人名单、政府采购严重违法失信行为记录名单的供应商，其</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。联合体形式响应的，联合体成员存在不良信用记录，视同联合体存在不良信用记录。</w:t>
            </w:r>
          </w:p>
        </w:tc>
        <w:tc>
          <w:tcPr>
            <w:tcW w:w="935" w:type="dxa"/>
            <w:noWrap w:val="0"/>
            <w:vAlign w:val="center"/>
          </w:tcPr>
          <w:p w14:paraId="1C461423">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无须供应商提供，由采购人查询。</w:t>
            </w:r>
          </w:p>
        </w:tc>
      </w:tr>
      <w:tr w14:paraId="638E60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42" w:type="dxa"/>
            <w:noWrap w:val="0"/>
            <w:vAlign w:val="center"/>
          </w:tcPr>
          <w:p w14:paraId="583AC1AB">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p>
        </w:tc>
        <w:tc>
          <w:tcPr>
            <w:tcW w:w="866" w:type="dxa"/>
            <w:noWrap w:val="0"/>
            <w:vAlign w:val="center"/>
          </w:tcPr>
          <w:p w14:paraId="1C465ACB">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落实政府采购政策需满足的资格要求</w:t>
            </w:r>
          </w:p>
        </w:tc>
        <w:tc>
          <w:tcPr>
            <w:tcW w:w="2855" w:type="dxa"/>
            <w:noWrap w:val="0"/>
            <w:vAlign w:val="center"/>
          </w:tcPr>
          <w:p w14:paraId="7C4939EF">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具体要求见第一章《采购邀请》</w:t>
            </w:r>
          </w:p>
        </w:tc>
        <w:tc>
          <w:tcPr>
            <w:tcW w:w="935" w:type="dxa"/>
            <w:noWrap w:val="0"/>
            <w:vAlign w:val="center"/>
          </w:tcPr>
          <w:p w14:paraId="78D0D171">
            <w:pPr>
              <w:tabs>
                <w:tab w:val="left" w:pos="1080"/>
              </w:tabs>
              <w:rPr>
                <w:color w:val="000000" w:themeColor="text1"/>
                <w:sz w:val="24"/>
                <w:highlight w:val="none"/>
                <w14:textFill>
                  <w14:solidFill>
                    <w14:schemeClr w14:val="tx1"/>
                  </w14:solidFill>
                </w14:textFill>
              </w:rPr>
            </w:pPr>
          </w:p>
        </w:tc>
      </w:tr>
      <w:tr w14:paraId="67F84D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42" w:type="dxa"/>
            <w:noWrap w:val="0"/>
            <w:vAlign w:val="center"/>
          </w:tcPr>
          <w:p w14:paraId="7E6002D1">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2-1</w:t>
            </w:r>
          </w:p>
        </w:tc>
        <w:tc>
          <w:tcPr>
            <w:tcW w:w="866" w:type="dxa"/>
            <w:noWrap w:val="0"/>
            <w:vAlign w:val="center"/>
          </w:tcPr>
          <w:p w14:paraId="6EA8B52F">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中小企业声明函</w:t>
            </w:r>
          </w:p>
        </w:tc>
        <w:tc>
          <w:tcPr>
            <w:tcW w:w="2855" w:type="dxa"/>
            <w:noWrap w:val="0"/>
            <w:vAlign w:val="center"/>
          </w:tcPr>
          <w:p w14:paraId="034D624A">
            <w:pPr>
              <w:tabs>
                <w:tab w:val="left" w:pos="1080"/>
              </w:tabs>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1、供应商单独参与磋商的，应提供中小企业声明函；如为监狱企业或残疾人福利性单位，不必提供中小企业声明函，但须按注1或注2要求提供证明材料。</w:t>
            </w:r>
          </w:p>
          <w:p w14:paraId="26527D48">
            <w:pPr>
              <w:tabs>
                <w:tab w:val="left" w:pos="1080"/>
              </w:tabs>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0A622F4D">
            <w:pPr>
              <w:tabs>
                <w:tab w:val="left" w:pos="1080"/>
              </w:tabs>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注1：监狱企业须提供由省级以上监狱管理局（常州市含教育矫治局）、戒毒管理局（含新疆生产建设兵团）出具的属于监狱企业的证明文件。</w:t>
            </w:r>
          </w:p>
          <w:p w14:paraId="459C5C3A">
            <w:pPr>
              <w:tabs>
                <w:tab w:val="left" w:pos="1080"/>
              </w:tabs>
              <w:rPr>
                <w:b/>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注2：残疾人福利性单位须按磋商文件要求提供《残疾人福利性单位声明函》。</w:t>
            </w:r>
          </w:p>
        </w:tc>
        <w:tc>
          <w:tcPr>
            <w:tcW w:w="935" w:type="dxa"/>
            <w:noWrap w:val="0"/>
            <w:vAlign w:val="center"/>
          </w:tcPr>
          <w:p w14:paraId="32A81F20">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格式见《响应文件格式》</w:t>
            </w:r>
          </w:p>
        </w:tc>
      </w:tr>
      <w:tr w14:paraId="593951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42" w:type="dxa"/>
            <w:noWrap w:val="0"/>
            <w:vAlign w:val="center"/>
          </w:tcPr>
          <w:p w14:paraId="1B6E37D9">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2-3</w:t>
            </w:r>
          </w:p>
        </w:tc>
        <w:tc>
          <w:tcPr>
            <w:tcW w:w="866" w:type="dxa"/>
            <w:noWrap w:val="0"/>
            <w:vAlign w:val="center"/>
          </w:tcPr>
          <w:p w14:paraId="009A0842">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其它落实政府采购政策的资格要求</w:t>
            </w:r>
          </w:p>
        </w:tc>
        <w:tc>
          <w:tcPr>
            <w:tcW w:w="2855" w:type="dxa"/>
            <w:noWrap w:val="0"/>
            <w:vAlign w:val="center"/>
          </w:tcPr>
          <w:p w14:paraId="176C59C9">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如有，见第一章《采购邀请》</w:t>
            </w:r>
          </w:p>
        </w:tc>
        <w:tc>
          <w:tcPr>
            <w:tcW w:w="935" w:type="dxa"/>
            <w:noWrap w:val="0"/>
            <w:vAlign w:val="center"/>
          </w:tcPr>
          <w:p w14:paraId="428E78F5">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提供证明文件的电子件或电子证照</w:t>
            </w:r>
          </w:p>
        </w:tc>
      </w:tr>
      <w:tr w14:paraId="665281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42" w:type="dxa"/>
            <w:noWrap w:val="0"/>
            <w:vAlign w:val="center"/>
          </w:tcPr>
          <w:p w14:paraId="5560594D">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w:t>
            </w:r>
          </w:p>
        </w:tc>
        <w:tc>
          <w:tcPr>
            <w:tcW w:w="866" w:type="dxa"/>
            <w:noWrap w:val="0"/>
            <w:vAlign w:val="center"/>
          </w:tcPr>
          <w:p w14:paraId="00C2506A">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本项目的特定资格要求</w:t>
            </w:r>
          </w:p>
        </w:tc>
        <w:tc>
          <w:tcPr>
            <w:tcW w:w="2855" w:type="dxa"/>
            <w:noWrap w:val="0"/>
            <w:vAlign w:val="center"/>
          </w:tcPr>
          <w:p w14:paraId="2BAE46FE">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如有，见第一章《采购邀请》</w:t>
            </w:r>
          </w:p>
        </w:tc>
        <w:tc>
          <w:tcPr>
            <w:tcW w:w="935" w:type="dxa"/>
            <w:noWrap w:val="0"/>
            <w:vAlign w:val="center"/>
          </w:tcPr>
          <w:p w14:paraId="14A57230">
            <w:pPr>
              <w:tabs>
                <w:tab w:val="left" w:pos="1080"/>
              </w:tabs>
              <w:rPr>
                <w:color w:val="000000" w:themeColor="text1"/>
                <w:sz w:val="24"/>
                <w:highlight w:val="none"/>
                <w14:textFill>
                  <w14:solidFill>
                    <w14:schemeClr w14:val="tx1"/>
                  </w14:solidFill>
                </w14:textFill>
              </w:rPr>
            </w:pPr>
          </w:p>
        </w:tc>
      </w:tr>
      <w:tr w14:paraId="2E55A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42" w:type="dxa"/>
            <w:noWrap w:val="0"/>
            <w:vAlign w:val="center"/>
          </w:tcPr>
          <w:p w14:paraId="74169065">
            <w:pPr>
              <w:tabs>
                <w:tab w:val="left" w:pos="1080"/>
              </w:tabs>
              <w:jc w:val="center"/>
              <w:rPr>
                <w:color w:val="000000" w:themeColor="text1"/>
                <w:sz w:val="24"/>
                <w:highlight w:val="none"/>
                <w14:textFill>
                  <w14:solidFill>
                    <w14:schemeClr w14:val="tx1"/>
                  </w14:solidFill>
                </w14:textFill>
              </w:rPr>
            </w:pPr>
            <w:r>
              <w:rPr>
                <w:rFonts w:asciiTheme="minorEastAsia" w:hAnsiTheme="minorEastAsia" w:eastAsiaTheme="minorEastAsia"/>
                <w:szCs w:val="21"/>
                <w:highlight w:val="none"/>
              </w:rPr>
              <w:t>3-1</w:t>
            </w:r>
          </w:p>
        </w:tc>
        <w:tc>
          <w:tcPr>
            <w:tcW w:w="866" w:type="dxa"/>
            <w:noWrap w:val="0"/>
            <w:vAlign w:val="center"/>
          </w:tcPr>
          <w:p w14:paraId="578E8FDB">
            <w:pPr>
              <w:tabs>
                <w:tab w:val="left" w:pos="1080"/>
              </w:tabs>
              <w:rPr>
                <w:rFonts w:hint="eastAsia" w:ascii="Times New Roman" w:hAnsi="Times New Roman" w:eastAsia="宋体" w:cs="Times New Roman"/>
                <w:bCs/>
                <w:color w:val="000000" w:themeColor="text1"/>
                <w:sz w:val="24"/>
                <w:highlight w:val="none"/>
                <w14:textFill>
                  <w14:solidFill>
                    <w14:schemeClr w14:val="tx1"/>
                  </w14:solidFill>
                </w14:textFill>
              </w:rPr>
            </w:pPr>
            <w:r>
              <w:rPr>
                <w:rFonts w:hint="eastAsia" w:ascii="Times New Roman" w:hAnsi="Times New Roman" w:eastAsia="宋体" w:cs="Times New Roman"/>
                <w:bCs/>
                <w:color w:val="000000" w:themeColor="text1"/>
                <w:sz w:val="24"/>
                <w:highlight w:val="none"/>
                <w14:textFill>
                  <w14:solidFill>
                    <w14:schemeClr w14:val="tx1"/>
                  </w14:solidFill>
                </w14:textFill>
              </w:rPr>
              <w:t>是否接受联合体响应</w:t>
            </w:r>
          </w:p>
        </w:tc>
        <w:tc>
          <w:tcPr>
            <w:tcW w:w="2855" w:type="dxa"/>
            <w:noWrap w:val="0"/>
            <w:vAlign w:val="center"/>
          </w:tcPr>
          <w:p w14:paraId="2DF03A41">
            <w:pPr>
              <w:tabs>
                <w:tab w:val="left" w:pos="1080"/>
              </w:tabs>
              <w:rPr>
                <w:rFonts w:hint="eastAsia" w:ascii="Times New Roman" w:hAnsi="Times New Roman" w:eastAsia="宋体" w:cs="Times New Roman"/>
                <w:bCs/>
                <w:color w:val="000000" w:themeColor="text1"/>
                <w:sz w:val="24"/>
                <w:highlight w:val="none"/>
                <w14:textFill>
                  <w14:solidFill>
                    <w14:schemeClr w14:val="tx1"/>
                  </w14:solidFill>
                </w14:textFill>
              </w:rPr>
            </w:pPr>
            <w:r>
              <w:rPr>
                <w:rFonts w:hint="eastAsia" w:ascii="Times New Roman" w:hAnsi="Times New Roman" w:eastAsia="宋体" w:cs="Times New Roman"/>
                <w:bCs/>
                <w:color w:val="000000" w:themeColor="text1"/>
                <w:sz w:val="24"/>
                <w:highlight w:val="none"/>
                <w14:textFill>
                  <w14:solidFill>
                    <w14:schemeClr w14:val="tx1"/>
                  </w14:solidFill>
                </w14:textFill>
              </w:rPr>
              <w:t>1、如本项目接受联合体响应，且供应商为联合体时必须提供《联合协议》，明确各方拟承担的工作和责任，并指定联合体牵头人，授权其代表所有联合体成员负责本项目响应和合同实施阶段的牵头、协调工作。该联合协议应当作为响应文件的组成部分，与响应文件其他内容同时递交。</w:t>
            </w:r>
          </w:p>
          <w:p w14:paraId="2C80C361">
            <w:pPr>
              <w:tabs>
                <w:tab w:val="left" w:pos="1080"/>
              </w:tabs>
              <w:rPr>
                <w:rFonts w:hint="eastAsia" w:ascii="Times New Roman" w:hAnsi="Times New Roman" w:eastAsia="宋体" w:cs="Times New Roman"/>
                <w:bCs/>
                <w:color w:val="000000" w:themeColor="text1"/>
                <w:sz w:val="24"/>
                <w:highlight w:val="none"/>
                <w14:textFill>
                  <w14:solidFill>
                    <w14:schemeClr w14:val="tx1"/>
                  </w14:solidFill>
                </w14:textFill>
              </w:rPr>
            </w:pPr>
            <w:r>
              <w:rPr>
                <w:rFonts w:hint="eastAsia" w:ascii="Times New Roman" w:hAnsi="Times New Roman" w:eastAsia="宋体" w:cs="Times New Roman"/>
                <w:bCs/>
                <w:color w:val="000000" w:themeColor="text1"/>
                <w:sz w:val="24"/>
                <w:highlight w:val="none"/>
                <w14:textFill>
                  <w14:solidFill>
                    <w14:schemeClr w14:val="tx1"/>
                  </w14:solidFill>
                </w14:textFill>
              </w:rPr>
              <w:t>2、联合体各成员单位均须提供本表中序号1-1、1-2的证明文件。</w:t>
            </w:r>
          </w:p>
          <w:p w14:paraId="029AC870">
            <w:pPr>
              <w:tabs>
                <w:tab w:val="left" w:pos="1080"/>
              </w:tabs>
              <w:rPr>
                <w:rFonts w:hint="eastAsia" w:ascii="Times New Roman" w:hAnsi="Times New Roman" w:eastAsia="宋体" w:cs="Times New Roman"/>
                <w:bCs/>
                <w:color w:val="000000" w:themeColor="text1"/>
                <w:sz w:val="24"/>
                <w:highlight w:val="none"/>
                <w14:textFill>
                  <w14:solidFill>
                    <w14:schemeClr w14:val="tx1"/>
                  </w14:solidFill>
                </w14:textFill>
              </w:rPr>
            </w:pPr>
            <w:r>
              <w:rPr>
                <w:rFonts w:hint="eastAsia" w:ascii="Times New Roman" w:hAnsi="Times New Roman" w:eastAsia="宋体" w:cs="Times New Roman"/>
                <w:bCs/>
                <w:color w:val="000000" w:themeColor="text1"/>
                <w:sz w:val="24"/>
                <w:highlight w:val="none"/>
                <w14:textFill>
                  <w14:solidFill>
                    <w14:schemeClr w14:val="tx1"/>
                  </w14:solidFill>
                </w14:textFill>
              </w:rPr>
              <w:t>3、本表序号3-2项规定的其他特定资格要求中的每一小项要求，联合体各方中至少应当有一方符合本表中其他资格要求并提供证明文件。</w:t>
            </w:r>
          </w:p>
          <w:p w14:paraId="2F51D18F">
            <w:pPr>
              <w:tabs>
                <w:tab w:val="left" w:pos="1080"/>
              </w:tabs>
              <w:rPr>
                <w:rFonts w:hint="eastAsia" w:ascii="Times New Roman" w:hAnsi="Times New Roman" w:eastAsia="宋体" w:cs="Times New Roman"/>
                <w:bCs/>
                <w:color w:val="000000" w:themeColor="text1"/>
                <w:sz w:val="24"/>
                <w:highlight w:val="none"/>
                <w14:textFill>
                  <w14:solidFill>
                    <w14:schemeClr w14:val="tx1"/>
                  </w14:solidFill>
                </w14:textFill>
              </w:rPr>
            </w:pPr>
            <w:r>
              <w:rPr>
                <w:rFonts w:hint="eastAsia" w:ascii="Times New Roman" w:hAnsi="Times New Roman" w:eastAsia="宋体" w:cs="Times New Roman"/>
                <w:bCs/>
                <w:color w:val="000000" w:themeColor="text1"/>
                <w:sz w:val="24"/>
                <w:highlight w:val="none"/>
                <w14:textFill>
                  <w14:solidFill>
                    <w14:schemeClr w14:val="tx1"/>
                  </w14:solidFill>
                </w14:textFill>
              </w:rPr>
              <w:t>4、联合体中有同类资质的供应商按照联合体分工承担相同工作的，应当按照资质等级较低的供应商确定资质等级。</w:t>
            </w:r>
          </w:p>
          <w:p w14:paraId="2ADB7A75">
            <w:pPr>
              <w:tabs>
                <w:tab w:val="left" w:pos="1080"/>
              </w:tabs>
              <w:rPr>
                <w:rFonts w:hint="eastAsia" w:ascii="Times New Roman" w:hAnsi="Times New Roman" w:eastAsia="宋体" w:cs="Times New Roman"/>
                <w:bCs/>
                <w:color w:val="000000" w:themeColor="text1"/>
                <w:sz w:val="24"/>
                <w:highlight w:val="none"/>
                <w14:textFill>
                  <w14:solidFill>
                    <w14:schemeClr w14:val="tx1"/>
                  </w14:solidFill>
                </w14:textFill>
              </w:rPr>
            </w:pPr>
            <w:r>
              <w:rPr>
                <w:rFonts w:hint="eastAsia" w:ascii="Times New Roman" w:hAnsi="Times New Roman" w:eastAsia="宋体" w:cs="Times New Roman"/>
                <w:bCs/>
                <w:color w:val="000000" w:themeColor="text1"/>
                <w:sz w:val="24"/>
                <w:highlight w:val="none"/>
                <w14:textFill>
                  <w14:solidFill>
                    <w14:schemeClr w14:val="tx1"/>
                  </w14:solidFill>
                </w14:textFill>
              </w:rPr>
              <w:t>5、以联合体形式参加政府采购活动的，联合体各方不得再单独参加或者与其他供应商另外组成联合体参加同一合同项下的政府采购活动。</w:t>
            </w:r>
          </w:p>
          <w:p w14:paraId="544AC744">
            <w:pPr>
              <w:tabs>
                <w:tab w:val="left" w:pos="1080"/>
              </w:tabs>
              <w:rPr>
                <w:rFonts w:hint="default" w:ascii="Times New Roman" w:hAnsi="Times New Roman" w:eastAsia="宋体" w:cs="Times New Roman"/>
                <w:bCs/>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bCs/>
                <w:color w:val="000000" w:themeColor="text1"/>
                <w:sz w:val="24"/>
                <w:highlight w:val="none"/>
                <w14:textFill>
                  <w14:solidFill>
                    <w14:schemeClr w14:val="tx1"/>
                  </w14:solidFill>
                </w14:textFill>
              </w:rPr>
              <w:t>6、若联合体中任一成员单位中途退出，则该联合体的响应无效。</w:t>
            </w:r>
          </w:p>
        </w:tc>
        <w:tc>
          <w:tcPr>
            <w:tcW w:w="935" w:type="dxa"/>
            <w:noWrap w:val="0"/>
            <w:vAlign w:val="center"/>
          </w:tcPr>
          <w:p w14:paraId="2BEFD107">
            <w:pPr>
              <w:tabs>
                <w:tab w:val="left" w:pos="1080"/>
              </w:tabs>
              <w:rPr>
                <w:rFonts w:hint="eastAsia" w:ascii="Times New Roman" w:hAnsi="Times New Roman" w:eastAsia="宋体" w:cs="Times New Roman"/>
                <w:bCs/>
                <w:color w:val="000000" w:themeColor="text1"/>
                <w:sz w:val="24"/>
                <w:highlight w:val="none"/>
                <w14:textFill>
                  <w14:solidFill>
                    <w14:schemeClr w14:val="tx1"/>
                  </w14:solidFill>
                </w14:textFill>
              </w:rPr>
            </w:pPr>
            <w:r>
              <w:rPr>
                <w:rFonts w:hint="eastAsia" w:ascii="Times New Roman" w:hAnsi="Times New Roman" w:eastAsia="宋体" w:cs="Times New Roman"/>
                <w:bCs/>
                <w:color w:val="000000" w:themeColor="text1"/>
                <w:sz w:val="24"/>
                <w:highlight w:val="none"/>
                <w14:textFill>
                  <w14:solidFill>
                    <w14:schemeClr w14:val="tx1"/>
                  </w14:solidFill>
                </w14:textFill>
              </w:rPr>
              <w:t>提供《联合协议》原件的电子件</w:t>
            </w:r>
          </w:p>
          <w:p w14:paraId="3B48F583">
            <w:pPr>
              <w:tabs>
                <w:tab w:val="left" w:pos="1080"/>
              </w:tabs>
              <w:rPr>
                <w:rFonts w:hint="eastAsia" w:ascii="Times New Roman" w:hAnsi="Times New Roman" w:eastAsia="宋体" w:cs="Times New Roman"/>
                <w:bCs/>
                <w:color w:val="000000" w:themeColor="text1"/>
                <w:sz w:val="24"/>
                <w:highlight w:val="none"/>
                <w14:textFill>
                  <w14:solidFill>
                    <w14:schemeClr w14:val="tx1"/>
                  </w14:solidFill>
                </w14:textFill>
              </w:rPr>
            </w:pPr>
          </w:p>
        </w:tc>
      </w:tr>
      <w:tr w14:paraId="23E520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42" w:type="dxa"/>
            <w:noWrap w:val="0"/>
            <w:vAlign w:val="center"/>
          </w:tcPr>
          <w:p w14:paraId="657734C3">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3-2</w:t>
            </w:r>
          </w:p>
        </w:tc>
        <w:tc>
          <w:tcPr>
            <w:tcW w:w="866" w:type="dxa"/>
            <w:noWrap w:val="0"/>
            <w:vAlign w:val="center"/>
          </w:tcPr>
          <w:p w14:paraId="787F8244">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其他特定资格要求</w:t>
            </w:r>
          </w:p>
        </w:tc>
        <w:tc>
          <w:tcPr>
            <w:tcW w:w="2855" w:type="dxa"/>
            <w:noWrap w:val="0"/>
            <w:vAlign w:val="center"/>
          </w:tcPr>
          <w:p w14:paraId="6EF4A2B0">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如有，见第一章《采购邀请》</w:t>
            </w:r>
          </w:p>
        </w:tc>
        <w:tc>
          <w:tcPr>
            <w:tcW w:w="935" w:type="dxa"/>
            <w:noWrap w:val="0"/>
            <w:vAlign w:val="center"/>
          </w:tcPr>
          <w:p w14:paraId="41D11F1D">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提供证明文件的电子件或电子证照</w:t>
            </w:r>
          </w:p>
        </w:tc>
      </w:tr>
    </w:tbl>
    <w:p w14:paraId="0679AA24">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clear="all"/>
      </w:r>
    </w:p>
    <w:p w14:paraId="5E5AA5A3">
      <w:pPr>
        <w:numPr>
          <w:ilvl w:val="1"/>
          <w:numId w:val="12"/>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《符合性审查要求》见下表：</w:t>
      </w:r>
    </w:p>
    <w:p w14:paraId="011681E1">
      <w:pPr>
        <w:widowControl/>
        <w:spacing w:line="360" w:lineRule="auto"/>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符合性审查要求</w:t>
      </w:r>
    </w:p>
    <w:tbl>
      <w:tblPr>
        <w:tblStyle w:val="30"/>
        <w:tblW w:w="45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0"/>
        <w:gridCol w:w="1764"/>
        <w:gridCol w:w="6546"/>
      </w:tblGrid>
      <w:tr w14:paraId="415A9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404" w:type="dxa"/>
            <w:noWrap w:val="0"/>
            <w:vAlign w:val="center"/>
          </w:tcPr>
          <w:p w14:paraId="562DEDDC">
            <w:pPr>
              <w:widowControl/>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序号</w:t>
            </w:r>
          </w:p>
        </w:tc>
        <w:tc>
          <w:tcPr>
            <w:tcW w:w="975" w:type="dxa"/>
            <w:noWrap w:val="0"/>
            <w:vAlign w:val="center"/>
          </w:tcPr>
          <w:p w14:paraId="71D5F061">
            <w:pPr>
              <w:widowControl/>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审查因素</w:t>
            </w:r>
          </w:p>
        </w:tc>
        <w:tc>
          <w:tcPr>
            <w:tcW w:w="3620" w:type="dxa"/>
            <w:noWrap w:val="0"/>
            <w:vAlign w:val="center"/>
          </w:tcPr>
          <w:p w14:paraId="63273D2D">
            <w:pPr>
              <w:widowControl/>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审查内容</w:t>
            </w:r>
          </w:p>
        </w:tc>
      </w:tr>
      <w:tr w14:paraId="7DFA40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09033F4B">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p>
        </w:tc>
        <w:tc>
          <w:tcPr>
            <w:tcW w:w="975" w:type="dxa"/>
            <w:noWrap w:val="0"/>
            <w:vAlign w:val="center"/>
          </w:tcPr>
          <w:p w14:paraId="5BDBD21F">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响应函、法定代表人资格证明书和政府采购供应商信用承诺书</w:t>
            </w:r>
          </w:p>
        </w:tc>
        <w:tc>
          <w:tcPr>
            <w:tcW w:w="3620" w:type="dxa"/>
            <w:noWrap w:val="0"/>
            <w:vAlign w:val="center"/>
          </w:tcPr>
          <w:p w14:paraId="13A33CC4">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按磋商文件要求提供</w:t>
            </w:r>
            <w:r>
              <w:rPr>
                <w:rFonts w:hint="eastAsia"/>
                <w:color w:val="000000" w:themeColor="text1"/>
                <w:sz w:val="24"/>
                <w:highlight w:val="none"/>
                <w14:textFill>
                  <w14:solidFill>
                    <w14:schemeClr w14:val="tx1"/>
                  </w14:solidFill>
                </w14:textFill>
              </w:rPr>
              <w:t>响应函、法定代表人资格证明书和政府采购供应商信用承诺书</w:t>
            </w:r>
            <w:r>
              <w:rPr>
                <w:color w:val="000000" w:themeColor="text1"/>
                <w:sz w:val="24"/>
                <w:highlight w:val="none"/>
                <w14:textFill>
                  <w14:solidFill>
                    <w14:schemeClr w14:val="tx1"/>
                  </w14:solidFill>
                </w14:textFill>
              </w:rPr>
              <w:t>；</w:t>
            </w:r>
          </w:p>
        </w:tc>
      </w:tr>
      <w:tr w14:paraId="64424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411E9A67">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p>
        </w:tc>
        <w:tc>
          <w:tcPr>
            <w:tcW w:w="975" w:type="dxa"/>
            <w:noWrap w:val="0"/>
            <w:vAlign w:val="center"/>
          </w:tcPr>
          <w:p w14:paraId="4DCD4FD8">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响应完整性</w:t>
            </w:r>
          </w:p>
        </w:tc>
        <w:tc>
          <w:tcPr>
            <w:tcW w:w="3620" w:type="dxa"/>
            <w:noWrap w:val="0"/>
            <w:vAlign w:val="center"/>
          </w:tcPr>
          <w:p w14:paraId="35707F7B">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未</w:t>
            </w:r>
            <w:r>
              <w:rPr>
                <w:color w:val="000000" w:themeColor="text1"/>
                <w:sz w:val="24"/>
                <w:highlight w:val="none"/>
                <w14:textFill>
                  <w14:solidFill>
                    <w14:schemeClr w14:val="tx1"/>
                  </w14:solidFill>
                </w14:textFill>
              </w:rPr>
              <w:t>将一个采购包中的内容拆开响应；</w:t>
            </w:r>
          </w:p>
        </w:tc>
      </w:tr>
      <w:tr w14:paraId="57ED80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58C531F5">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w:t>
            </w:r>
          </w:p>
        </w:tc>
        <w:tc>
          <w:tcPr>
            <w:tcW w:w="975" w:type="dxa"/>
            <w:noWrap w:val="0"/>
            <w:vAlign w:val="center"/>
          </w:tcPr>
          <w:p w14:paraId="48646072">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响应报价</w:t>
            </w:r>
          </w:p>
        </w:tc>
        <w:tc>
          <w:tcPr>
            <w:tcW w:w="3620" w:type="dxa"/>
            <w:noWrap w:val="0"/>
            <w:vAlign w:val="center"/>
          </w:tcPr>
          <w:p w14:paraId="26918E55">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响应报价</w:t>
            </w:r>
            <w:r>
              <w:rPr>
                <w:rFonts w:hint="eastAsia"/>
                <w:color w:val="000000" w:themeColor="text1"/>
                <w:sz w:val="24"/>
                <w:highlight w:val="none"/>
                <w14:textFill>
                  <w14:solidFill>
                    <w14:schemeClr w14:val="tx1"/>
                  </w14:solidFill>
                </w14:textFill>
              </w:rPr>
              <w:t>未</w:t>
            </w:r>
            <w:r>
              <w:rPr>
                <w:color w:val="000000" w:themeColor="text1"/>
                <w:sz w:val="24"/>
                <w:highlight w:val="none"/>
                <w14:textFill>
                  <w14:solidFill>
                    <w14:schemeClr w14:val="tx1"/>
                  </w14:solidFill>
                </w14:textFill>
              </w:rPr>
              <w:t>超过磋商文件中规定的项目/采购包预算金额或者项目/采购包最高限价；</w:t>
            </w:r>
          </w:p>
        </w:tc>
      </w:tr>
      <w:tr w14:paraId="054BC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1DA174D2">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4</w:t>
            </w:r>
          </w:p>
        </w:tc>
        <w:tc>
          <w:tcPr>
            <w:tcW w:w="975" w:type="dxa"/>
            <w:noWrap w:val="0"/>
            <w:vAlign w:val="center"/>
          </w:tcPr>
          <w:p w14:paraId="3DD08F59">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报价唯一性</w:t>
            </w:r>
          </w:p>
        </w:tc>
        <w:tc>
          <w:tcPr>
            <w:tcW w:w="3620" w:type="dxa"/>
            <w:noWrap w:val="0"/>
            <w:vAlign w:val="center"/>
          </w:tcPr>
          <w:p w14:paraId="5A306C01">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w:t>
            </w:r>
            <w:r>
              <w:rPr>
                <w:rFonts w:hint="eastAsia"/>
                <w:color w:val="000000" w:themeColor="text1"/>
                <w:sz w:val="24"/>
                <w:highlight w:val="none"/>
                <w14:textFill>
                  <w14:solidFill>
                    <w14:schemeClr w14:val="tx1"/>
                  </w14:solidFill>
                </w14:textFill>
              </w:rPr>
              <w:t>未出现可选择性或可调整的报价（磋商文件另有规定的除外）</w:t>
            </w:r>
            <w:r>
              <w:rPr>
                <w:color w:val="000000" w:themeColor="text1"/>
                <w:sz w:val="24"/>
                <w:highlight w:val="none"/>
                <w14:textFill>
                  <w14:solidFill>
                    <w14:schemeClr w14:val="tx1"/>
                  </w14:solidFill>
                </w14:textFill>
              </w:rPr>
              <w:t>；</w:t>
            </w:r>
          </w:p>
        </w:tc>
      </w:tr>
      <w:tr w14:paraId="33CFC4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40500A76">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5</w:t>
            </w:r>
          </w:p>
        </w:tc>
        <w:tc>
          <w:tcPr>
            <w:tcW w:w="975" w:type="dxa"/>
            <w:noWrap w:val="0"/>
            <w:vAlign w:val="center"/>
          </w:tcPr>
          <w:p w14:paraId="67D57A61">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响应有效期</w:t>
            </w:r>
          </w:p>
        </w:tc>
        <w:tc>
          <w:tcPr>
            <w:tcW w:w="3620" w:type="dxa"/>
            <w:noWrap w:val="0"/>
            <w:vAlign w:val="center"/>
          </w:tcPr>
          <w:p w14:paraId="4CF3E95F">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响应文件中承诺的响应有效期</w:t>
            </w:r>
            <w:r>
              <w:rPr>
                <w:rFonts w:hint="eastAsia"/>
                <w:color w:val="000000" w:themeColor="text1"/>
                <w:sz w:val="24"/>
                <w:highlight w:val="none"/>
                <w14:textFill>
                  <w14:solidFill>
                    <w14:schemeClr w14:val="tx1"/>
                  </w14:solidFill>
                </w14:textFill>
              </w:rPr>
              <w:t>满足</w:t>
            </w:r>
            <w:r>
              <w:rPr>
                <w:color w:val="000000" w:themeColor="text1"/>
                <w:sz w:val="24"/>
                <w:highlight w:val="none"/>
                <w14:textFill>
                  <w14:solidFill>
                    <w14:schemeClr w14:val="tx1"/>
                  </w14:solidFill>
                </w14:textFill>
              </w:rPr>
              <w:t>磋商文件中载明的响应有效期的；</w:t>
            </w:r>
          </w:p>
        </w:tc>
      </w:tr>
      <w:tr w14:paraId="56E82F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3F071C91">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6</w:t>
            </w:r>
          </w:p>
        </w:tc>
        <w:tc>
          <w:tcPr>
            <w:tcW w:w="975" w:type="dxa"/>
            <w:noWrap w:val="0"/>
            <w:vAlign w:val="center"/>
          </w:tcPr>
          <w:p w14:paraId="6A009521">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签署、加盖公章</w:t>
            </w:r>
          </w:p>
        </w:tc>
        <w:tc>
          <w:tcPr>
            <w:tcW w:w="3620" w:type="dxa"/>
            <w:noWrap w:val="0"/>
            <w:vAlign w:val="center"/>
          </w:tcPr>
          <w:p w14:paraId="0531621A">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按照磋商文件要求签署、加盖公章的；</w:t>
            </w:r>
          </w:p>
        </w:tc>
      </w:tr>
      <w:tr w14:paraId="6C1797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49AB8900">
            <w:pPr>
              <w:widowControl/>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7</w:t>
            </w:r>
          </w:p>
        </w:tc>
        <w:tc>
          <w:tcPr>
            <w:tcW w:w="975" w:type="dxa"/>
            <w:noWrap w:val="0"/>
            <w:vAlign w:val="center"/>
          </w:tcPr>
          <w:p w14:paraId="29EBE9A4">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实质性格式</w:t>
            </w:r>
          </w:p>
        </w:tc>
        <w:tc>
          <w:tcPr>
            <w:tcW w:w="3620" w:type="dxa"/>
            <w:noWrap w:val="0"/>
            <w:vAlign w:val="center"/>
          </w:tcPr>
          <w:p w14:paraId="2F1A9D2C">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标记为</w:t>
            </w:r>
            <w:r>
              <w:rPr>
                <w:color w:val="000000" w:themeColor="text1"/>
                <w:sz w:val="24"/>
                <w:highlight w:val="none"/>
                <w14:textFill>
                  <w14:solidFill>
                    <w14:schemeClr w14:val="tx1"/>
                  </w14:solidFill>
                </w14:textFill>
              </w:rPr>
              <w:t>“实质性格式”的</w:t>
            </w:r>
            <w:r>
              <w:rPr>
                <w:rFonts w:hint="eastAsia"/>
                <w:color w:val="000000" w:themeColor="text1"/>
                <w:sz w:val="24"/>
                <w:highlight w:val="none"/>
                <w14:textFill>
                  <w14:solidFill>
                    <w14:schemeClr w14:val="tx1"/>
                  </w14:solidFill>
                </w14:textFill>
              </w:rPr>
              <w:t>文件均按</w:t>
            </w:r>
            <w:r>
              <w:rPr>
                <w:color w:val="000000" w:themeColor="text1"/>
                <w:sz w:val="24"/>
                <w:highlight w:val="none"/>
                <w14:textFill>
                  <w14:solidFill>
                    <w14:schemeClr w14:val="tx1"/>
                  </w14:solidFill>
                </w14:textFill>
              </w:rPr>
              <w:t>磋商文件</w:t>
            </w:r>
            <w:r>
              <w:rPr>
                <w:rFonts w:hint="eastAsia"/>
                <w:color w:val="000000" w:themeColor="text1"/>
                <w:sz w:val="24"/>
                <w:highlight w:val="none"/>
                <w14:textFill>
                  <w14:solidFill>
                    <w14:schemeClr w14:val="tx1"/>
                  </w14:solidFill>
                </w14:textFill>
              </w:rPr>
              <w:t>要求提供；</w:t>
            </w:r>
          </w:p>
        </w:tc>
      </w:tr>
      <w:tr w14:paraId="3AE34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78E92266">
            <w:pPr>
              <w:widowControl/>
              <w:jc w:val="center"/>
              <w:rPr>
                <w:rFonts w:hint="eastAsia"/>
                <w:color w:val="000000" w:themeColor="text1"/>
                <w:sz w:val="24"/>
                <w:highlight w:val="none"/>
                <w14:textFill>
                  <w14:solidFill>
                    <w14:schemeClr w14:val="tx1"/>
                  </w14:solidFill>
                </w14:textFill>
              </w:rPr>
            </w:pPr>
            <w:r>
              <w:rPr>
                <w:rFonts w:asciiTheme="minorEastAsia" w:hAnsiTheme="minorEastAsia" w:eastAsiaTheme="minorEastAsia"/>
                <w:szCs w:val="21"/>
                <w:highlight w:val="none"/>
              </w:rPr>
              <w:t>8</w:t>
            </w:r>
          </w:p>
        </w:tc>
        <w:tc>
          <w:tcPr>
            <w:tcW w:w="975" w:type="dxa"/>
            <w:noWrap w:val="0"/>
            <w:vAlign w:val="center"/>
          </w:tcPr>
          <w:p w14:paraId="23DBF466">
            <w:pPr>
              <w:widowControl/>
              <w:jc w:val="left"/>
              <w:rPr>
                <w:rFonts w:hint="eastAsia"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★号条款响应</w:t>
            </w:r>
          </w:p>
        </w:tc>
        <w:tc>
          <w:tcPr>
            <w:tcW w:w="3620" w:type="dxa"/>
            <w:noWrap w:val="0"/>
            <w:vAlign w:val="center"/>
          </w:tcPr>
          <w:p w14:paraId="33738F4A">
            <w:pPr>
              <w:widowControl/>
              <w:jc w:val="left"/>
              <w:rPr>
                <w:rFonts w:hint="eastAsia"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响应文件满足磋商文件第五章《采购需求》中★号条款要求的；</w:t>
            </w:r>
          </w:p>
        </w:tc>
      </w:tr>
      <w:tr w14:paraId="216AEC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499D54F9">
            <w:pPr>
              <w:widowControl/>
              <w:jc w:val="center"/>
              <w:rPr>
                <w:rFonts w:hint="eastAsia" w:eastAsia="宋体"/>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9</w:t>
            </w:r>
          </w:p>
        </w:tc>
        <w:tc>
          <w:tcPr>
            <w:tcW w:w="975" w:type="dxa"/>
            <w:noWrap w:val="0"/>
            <w:vAlign w:val="center"/>
          </w:tcPr>
          <w:p w14:paraId="0227993D">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分包承担主体资质（如有）</w:t>
            </w:r>
          </w:p>
        </w:tc>
        <w:tc>
          <w:tcPr>
            <w:tcW w:w="3620" w:type="dxa"/>
            <w:noWrap w:val="0"/>
            <w:vAlign w:val="center"/>
          </w:tcPr>
          <w:p w14:paraId="6C416F69">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分包承担主体具备《供应商须知资料表》载明的资质条件</w:t>
            </w:r>
            <w:r>
              <w:rPr>
                <w:rFonts w:hint="eastAsia"/>
                <w:color w:val="000000" w:themeColor="text1"/>
                <w:sz w:val="24"/>
                <w:highlight w:val="none"/>
                <w14:textFill>
                  <w14:solidFill>
                    <w14:schemeClr w14:val="tx1"/>
                  </w14:solidFill>
                </w14:textFill>
              </w:rPr>
              <w:t>且</w:t>
            </w:r>
            <w:r>
              <w:rPr>
                <w:color w:val="000000" w:themeColor="text1"/>
                <w:sz w:val="24"/>
                <w:highlight w:val="none"/>
                <w14:textFill>
                  <w14:solidFill>
                    <w14:schemeClr w14:val="tx1"/>
                  </w14:solidFill>
                </w14:textFill>
              </w:rPr>
              <w:t>提供</w:t>
            </w:r>
            <w:r>
              <w:rPr>
                <w:rFonts w:hint="eastAsia"/>
                <w:color w:val="000000" w:themeColor="text1"/>
                <w:sz w:val="24"/>
                <w:highlight w:val="none"/>
                <w14:textFill>
                  <w14:solidFill>
                    <w14:schemeClr w14:val="tx1"/>
                  </w14:solidFill>
                </w14:textFill>
              </w:rPr>
              <w:t>了</w:t>
            </w:r>
            <w:r>
              <w:rPr>
                <w:color w:val="000000" w:themeColor="text1"/>
                <w:sz w:val="24"/>
                <w:highlight w:val="none"/>
                <w14:textFill>
                  <w14:solidFill>
                    <w14:schemeClr w14:val="tx1"/>
                  </w14:solidFill>
                </w14:textFill>
              </w:rPr>
              <w:t>资质证书电子件</w:t>
            </w:r>
            <w:r>
              <w:rPr>
                <w:rFonts w:hint="eastAsia"/>
                <w:color w:val="000000" w:themeColor="text1"/>
                <w:sz w:val="24"/>
                <w:highlight w:val="none"/>
                <w14:textFill>
                  <w14:solidFill>
                    <w14:schemeClr w14:val="tx1"/>
                  </w14:solidFill>
                </w14:textFill>
              </w:rPr>
              <w:t>（如有）</w:t>
            </w:r>
            <w:r>
              <w:rPr>
                <w:color w:val="000000" w:themeColor="text1"/>
                <w:sz w:val="24"/>
                <w:highlight w:val="none"/>
                <w14:textFill>
                  <w14:solidFill>
                    <w14:schemeClr w14:val="tx1"/>
                  </w14:solidFill>
                </w14:textFill>
              </w:rPr>
              <w:t>；</w:t>
            </w:r>
          </w:p>
        </w:tc>
      </w:tr>
      <w:tr w14:paraId="56D162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2E486444">
            <w:pPr>
              <w:widowControl/>
              <w:jc w:val="center"/>
              <w:rPr>
                <w:rFonts w:hint="default" w:eastAsia="宋体"/>
                <w:color w:val="000000" w:themeColor="text1"/>
                <w:sz w:val="24"/>
                <w:highlight w:val="none"/>
                <w:lang w:val="en-US"/>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10</w:t>
            </w:r>
          </w:p>
        </w:tc>
        <w:tc>
          <w:tcPr>
            <w:tcW w:w="975" w:type="dxa"/>
            <w:noWrap w:val="0"/>
            <w:vAlign w:val="center"/>
          </w:tcPr>
          <w:p w14:paraId="7CE8FBE4">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分包意向协议</w:t>
            </w:r>
          </w:p>
          <w:p w14:paraId="304503B2">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（如有）</w:t>
            </w:r>
          </w:p>
        </w:tc>
        <w:tc>
          <w:tcPr>
            <w:tcW w:w="3620" w:type="dxa"/>
            <w:noWrap w:val="0"/>
            <w:vAlign w:val="center"/>
          </w:tcPr>
          <w:p w14:paraId="6E74493A">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按磋商文件规定签订并提供分包意向协议原件的电子件的；</w:t>
            </w:r>
            <w:r>
              <w:rPr>
                <w:rFonts w:hint="eastAsia"/>
                <w:color w:val="000000" w:themeColor="text1"/>
                <w:sz w:val="24"/>
                <w:highlight w:val="none"/>
                <w14:textFill>
                  <w14:solidFill>
                    <w14:schemeClr w14:val="tx1"/>
                  </w14:solidFill>
                </w14:textFill>
              </w:rPr>
              <w:t>（如有）</w:t>
            </w:r>
          </w:p>
        </w:tc>
      </w:tr>
      <w:tr w14:paraId="33124F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5197B8DE">
            <w:pPr>
              <w:widowControl/>
              <w:jc w:val="center"/>
              <w:rPr>
                <w:rFonts w:hint="eastAsia" w:eastAsia="宋体"/>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lang w:val="en-US" w:eastAsia="zh-CN"/>
                <w14:textFill>
                  <w14:solidFill>
                    <w14:schemeClr w14:val="tx1"/>
                  </w14:solidFill>
                </w14:textFill>
              </w:rPr>
              <w:t>1</w:t>
            </w:r>
          </w:p>
        </w:tc>
        <w:tc>
          <w:tcPr>
            <w:tcW w:w="975" w:type="dxa"/>
            <w:noWrap w:val="0"/>
            <w:vAlign w:val="center"/>
          </w:tcPr>
          <w:p w14:paraId="28A3875A">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报价的修正（如有）</w:t>
            </w:r>
          </w:p>
        </w:tc>
        <w:tc>
          <w:tcPr>
            <w:tcW w:w="3620" w:type="dxa"/>
            <w:noWrap w:val="0"/>
            <w:vAlign w:val="center"/>
          </w:tcPr>
          <w:p w14:paraId="2020DAF7">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不涉及报价修正</w:t>
            </w:r>
            <w:r>
              <w:rPr>
                <w:color w:val="000000" w:themeColor="text1"/>
                <w:sz w:val="24"/>
                <w:highlight w:val="none"/>
                <w14:textFill>
                  <w14:solidFill>
                    <w14:schemeClr w14:val="tx1"/>
                  </w14:solidFill>
                </w14:textFill>
              </w:rPr>
              <w:t>，或响应文件报价出现前后不一致</w:t>
            </w:r>
            <w:r>
              <w:rPr>
                <w:rFonts w:hint="eastAsia"/>
                <w:color w:val="000000" w:themeColor="text1"/>
                <w:sz w:val="24"/>
                <w:highlight w:val="none"/>
                <w14:textFill>
                  <w14:solidFill>
                    <w14:schemeClr w14:val="tx1"/>
                  </w14:solidFill>
                </w14:textFill>
              </w:rPr>
              <w:t>时</w:t>
            </w:r>
            <w:r>
              <w:rPr>
                <w:color w:val="000000" w:themeColor="text1"/>
                <w:sz w:val="24"/>
                <w:highlight w:val="none"/>
                <w14:textFill>
                  <w14:solidFill>
                    <w14:schemeClr w14:val="tx1"/>
                  </w14:solidFill>
                </w14:textFill>
              </w:rPr>
              <w:t>，供应商对修正后的报价予</w:t>
            </w:r>
            <w:r>
              <w:rPr>
                <w:rFonts w:hint="eastAsia"/>
                <w:color w:val="000000" w:themeColor="text1"/>
                <w:sz w:val="24"/>
                <w:highlight w:val="none"/>
                <w14:textFill>
                  <w14:solidFill>
                    <w14:schemeClr w14:val="tx1"/>
                  </w14:solidFill>
                </w14:textFill>
              </w:rPr>
              <w:t>以</w:t>
            </w:r>
            <w:r>
              <w:rPr>
                <w:color w:val="000000" w:themeColor="text1"/>
                <w:sz w:val="24"/>
                <w:highlight w:val="none"/>
                <w14:textFill>
                  <w14:solidFill>
                    <w14:schemeClr w14:val="tx1"/>
                  </w14:solidFill>
                </w14:textFill>
              </w:rPr>
              <w:t>确认；（如有）</w:t>
            </w:r>
          </w:p>
        </w:tc>
      </w:tr>
      <w:tr w14:paraId="40E1F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3D5712AB">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2</w:t>
            </w:r>
          </w:p>
        </w:tc>
        <w:tc>
          <w:tcPr>
            <w:tcW w:w="975" w:type="dxa"/>
            <w:noWrap w:val="0"/>
            <w:vAlign w:val="center"/>
          </w:tcPr>
          <w:p w14:paraId="062AC1DE">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进口产品</w:t>
            </w:r>
          </w:p>
          <w:p w14:paraId="662F03FC">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（如有）</w:t>
            </w:r>
          </w:p>
        </w:tc>
        <w:tc>
          <w:tcPr>
            <w:tcW w:w="3620" w:type="dxa"/>
            <w:noWrap w:val="0"/>
            <w:vAlign w:val="center"/>
          </w:tcPr>
          <w:p w14:paraId="65492041">
            <w:pPr>
              <w:widowControl/>
              <w:jc w:val="left"/>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磋商文件</w:t>
            </w:r>
            <w:r>
              <w:rPr>
                <w:rFonts w:ascii="宋体" w:hAnsi="宋体"/>
                <w:color w:val="000000" w:themeColor="text1"/>
                <w:sz w:val="24"/>
                <w:highlight w:val="none"/>
                <w14:textFill>
                  <w14:solidFill>
                    <w14:schemeClr w14:val="tx1"/>
                  </w14:solidFill>
                </w14:textFill>
              </w:rPr>
              <w:t>不接受进口产品响应</w:t>
            </w:r>
            <w:r>
              <w:rPr>
                <w:rFonts w:hint="eastAsia" w:ascii="宋体" w:hAnsi="宋体"/>
                <w:color w:val="000000" w:themeColor="text1"/>
                <w:sz w:val="24"/>
                <w:highlight w:val="none"/>
                <w14:textFill>
                  <w14:solidFill>
                    <w14:schemeClr w14:val="tx1"/>
                  </w14:solidFill>
                </w14:textFill>
              </w:rPr>
              <w:t>的内容时</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供应商所投产品非进口产品的；</w:t>
            </w:r>
          </w:p>
        </w:tc>
      </w:tr>
      <w:tr w14:paraId="4821A9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10594A1C">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3</w:t>
            </w:r>
          </w:p>
        </w:tc>
        <w:tc>
          <w:tcPr>
            <w:tcW w:w="975" w:type="dxa"/>
            <w:noWrap w:val="0"/>
            <w:vAlign w:val="center"/>
          </w:tcPr>
          <w:p w14:paraId="72B9111E">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国家有关部门对供应商的响应产品有强制性规定或要求的</w:t>
            </w:r>
          </w:p>
        </w:tc>
        <w:tc>
          <w:tcPr>
            <w:tcW w:w="3620" w:type="dxa"/>
            <w:noWrap w:val="0"/>
            <w:vAlign w:val="center"/>
          </w:tcPr>
          <w:p w14:paraId="5E9E7B06">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国家有关部门对供应商的响应产品有强制性规定或要求的（如相应技术、安全、节能和环保等），供应商的响应产品</w:t>
            </w:r>
            <w:r>
              <w:rPr>
                <w:rFonts w:hint="eastAsia"/>
                <w:color w:val="000000" w:themeColor="text1"/>
                <w:sz w:val="24"/>
                <w:highlight w:val="none"/>
                <w14:textFill>
                  <w14:solidFill>
                    <w14:schemeClr w14:val="tx1"/>
                  </w14:solidFill>
                </w14:textFill>
              </w:rPr>
              <w:t>应</w:t>
            </w:r>
            <w:r>
              <w:rPr>
                <w:color w:val="000000" w:themeColor="text1"/>
                <w:sz w:val="24"/>
                <w:highlight w:val="none"/>
                <w14:textFill>
                  <w14:solidFill>
                    <w14:schemeClr w14:val="tx1"/>
                  </w14:solidFill>
                </w14:textFill>
              </w:rPr>
              <w:t>符合相应规定或要求</w:t>
            </w:r>
            <w:r>
              <w:rPr>
                <w:rFonts w:hint="eastAsia"/>
                <w:color w:val="000000" w:themeColor="text1"/>
                <w:sz w:val="24"/>
                <w:highlight w:val="none"/>
                <w14:textFill>
                  <w14:solidFill>
                    <w14:schemeClr w14:val="tx1"/>
                  </w14:solidFill>
                </w14:textFill>
              </w:rPr>
              <w:t>，并提供证明文件电子件：</w:t>
            </w:r>
          </w:p>
          <w:p w14:paraId="08C86A48">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采购的产品若属于《节能产品政府采购品目清单》范围中政府强制采购产品，则供应商所报产品必须获得国家确定的认证机构出具的、处于有效期之内的节能产品认证证书；</w:t>
            </w:r>
          </w:p>
          <w:p w14:paraId="62A4329B">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响应产品如涉及计算机信息系统安全专用产品的，须</w:t>
            </w:r>
            <w:r>
              <w:rPr>
                <w:rFonts w:hint="eastAsia"/>
                <w:color w:val="000000" w:themeColor="text1"/>
                <w:sz w:val="24"/>
                <w:highlight w:val="none"/>
                <w14:textFill>
                  <w14:solidFill>
                    <w14:schemeClr w14:val="tx1"/>
                  </w14:solidFill>
                </w14:textFill>
              </w:rPr>
              <w:t>提供</w:t>
            </w:r>
            <w:r>
              <w:rPr>
                <w:color w:val="000000" w:themeColor="text1"/>
                <w:sz w:val="24"/>
                <w:highlight w:val="none"/>
                <w14:textFill>
                  <w14:solidFill>
                    <w14:schemeClr w14:val="tx1"/>
                  </w14:solidFill>
                </w14:textFill>
              </w:rPr>
              <w:t>公安部颁发的计算机信息系统安全专用产品销售许可证；</w:t>
            </w:r>
          </w:p>
          <w:p w14:paraId="6F52CF06">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响应产品如有属于开展国家信息安全产品认证产品范围的，须</w:t>
            </w:r>
            <w:r>
              <w:rPr>
                <w:rFonts w:hint="eastAsia"/>
                <w:color w:val="000000" w:themeColor="text1"/>
                <w:sz w:val="24"/>
                <w:highlight w:val="none"/>
                <w14:textFill>
                  <w14:solidFill>
                    <w14:schemeClr w14:val="tx1"/>
                  </w14:solidFill>
                </w14:textFill>
              </w:rPr>
              <w:t>提供</w:t>
            </w:r>
            <w:r>
              <w:rPr>
                <w:color w:val="000000" w:themeColor="text1"/>
                <w:sz w:val="24"/>
                <w:highlight w:val="none"/>
                <w14:textFill>
                  <w14:solidFill>
                    <w14:schemeClr w14:val="tx1"/>
                  </w14:solidFill>
                </w14:textFill>
              </w:rPr>
              <w:t>由中国网络安全审查技术与认证中心（原中国信息安全认证中心）按国家标准认证颁发的有效认证证书等）；</w:t>
            </w:r>
          </w:p>
          <w:p w14:paraId="7B8DF7FB">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w:t>
            </w:r>
            <w:r>
              <w:rPr>
                <w:color w:val="000000" w:themeColor="text1"/>
                <w:sz w:val="24"/>
                <w:highlight w:val="none"/>
                <w14:textFill>
                  <w14:solidFill>
                    <w14:schemeClr w14:val="tx1"/>
                  </w14:solidFill>
                </w14:textFill>
              </w:rPr>
              <w:t>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p>
        </w:tc>
      </w:tr>
      <w:tr w14:paraId="27479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45A8EE58">
            <w:pPr>
              <w:widowControl/>
              <w:jc w:val="center"/>
              <w:rPr>
                <w:rFonts w:hint="eastAsia" w:eastAsia="宋体"/>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lang w:val="en-US" w:eastAsia="zh-CN"/>
                <w14:textFill>
                  <w14:solidFill>
                    <w14:schemeClr w14:val="tx1"/>
                  </w14:solidFill>
                </w14:textFill>
              </w:rPr>
              <w:t>4</w:t>
            </w:r>
          </w:p>
        </w:tc>
        <w:tc>
          <w:tcPr>
            <w:tcW w:w="975" w:type="dxa"/>
            <w:noWrap w:val="0"/>
            <w:vAlign w:val="center"/>
          </w:tcPr>
          <w:p w14:paraId="3ADACDA8">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公平竞争</w:t>
            </w:r>
          </w:p>
        </w:tc>
        <w:tc>
          <w:tcPr>
            <w:tcW w:w="3620" w:type="dxa"/>
            <w:noWrap w:val="0"/>
            <w:vAlign w:val="center"/>
          </w:tcPr>
          <w:p w14:paraId="1973B638">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供应商遵循公平竞争的原则，不存在恶意串通，妨碍其他供应商的竞争行为，不存在损害采购人或者其他供应商的合法权益情形的；</w:t>
            </w:r>
          </w:p>
        </w:tc>
      </w:tr>
      <w:tr w14:paraId="787B0D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6457EE02">
            <w:pPr>
              <w:widowControl/>
              <w:jc w:val="center"/>
              <w:rPr>
                <w:rFonts w:hint="eastAsia" w:eastAsia="宋体"/>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lang w:val="en-US" w:eastAsia="zh-CN"/>
                <w14:textFill>
                  <w14:solidFill>
                    <w14:schemeClr w14:val="tx1"/>
                  </w14:solidFill>
                </w14:textFill>
              </w:rPr>
              <w:t>5</w:t>
            </w:r>
          </w:p>
        </w:tc>
        <w:tc>
          <w:tcPr>
            <w:tcW w:w="975" w:type="dxa"/>
            <w:noWrap w:val="0"/>
            <w:vAlign w:val="center"/>
          </w:tcPr>
          <w:p w14:paraId="38C949B1">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串通响应</w:t>
            </w:r>
          </w:p>
        </w:tc>
        <w:tc>
          <w:tcPr>
            <w:tcW w:w="3620" w:type="dxa"/>
            <w:noWrap w:val="0"/>
            <w:vAlign w:val="center"/>
          </w:tcPr>
          <w:p w14:paraId="7328925E">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不存在《政府采购货物和服务招标响应管理办法》视为供应商串通响应的情形：（一）不同供应商的响应文件由同一单位或者个人编制</w:t>
            </w:r>
            <w:r>
              <w:rPr>
                <w:rFonts w:hint="eastAsia" w:ascii="宋体" w:hAnsi="宋体"/>
                <w:color w:val="000000" w:themeColor="text1"/>
                <w:sz w:val="24"/>
                <w:highlight w:val="none"/>
                <w14:textFill>
                  <w14:solidFill>
                    <w14:schemeClr w14:val="tx1"/>
                  </w14:solidFill>
                </w14:textFill>
              </w:rPr>
              <w:t>（包含使用同一MAC地址的计算机制作电子响应文件的情形）</w:t>
            </w:r>
            <w:r>
              <w:rPr>
                <w:rFonts w:hint="eastAsia"/>
                <w:color w:val="000000" w:themeColor="text1"/>
                <w:sz w:val="24"/>
                <w:highlight w:val="none"/>
                <w14:textFill>
                  <w14:solidFill>
                    <w14:schemeClr w14:val="tx1"/>
                  </w14:solidFill>
                </w14:textFill>
              </w:rPr>
              <w:t>；（二）不同供应商委托同一单位或者个人办理响应事宜</w:t>
            </w:r>
            <w:r>
              <w:rPr>
                <w:rFonts w:hint="eastAsia" w:ascii="宋体" w:hAnsi="宋体"/>
                <w:color w:val="000000" w:themeColor="text1"/>
                <w:sz w:val="24"/>
                <w:highlight w:val="none"/>
                <w14:textFill>
                  <w14:solidFill>
                    <w14:schemeClr w14:val="tx1"/>
                  </w14:solidFill>
                </w14:textFill>
              </w:rPr>
              <w:t>（包含使用同一MAC地址的计算机提交或者解密电子响应文件的情形）</w:t>
            </w:r>
            <w:r>
              <w:rPr>
                <w:rFonts w:hint="eastAsia"/>
                <w:color w:val="000000" w:themeColor="text1"/>
                <w:sz w:val="24"/>
                <w:highlight w:val="none"/>
                <w14:textFill>
                  <w14:solidFill>
                    <w14:schemeClr w14:val="tx1"/>
                  </w14:solidFill>
                </w14:textFill>
              </w:rPr>
              <w:t>；（三）不同供应商的响应文件载明的项目管理成员或者联系人员为同一人；（四）不同供应商的响应文件异常一致或者响应报价呈规律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themeColor="text1"/>
                <w:sz w:val="24"/>
                <w:highlight w:val="none"/>
                <w14:textFill>
                  <w14:solidFill>
                    <w14:schemeClr w14:val="tx1"/>
                  </w14:solidFill>
                </w14:textFill>
              </w:rPr>
              <w:t>；</w:t>
            </w:r>
          </w:p>
        </w:tc>
      </w:tr>
      <w:tr w14:paraId="52D231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3D8BEF8B">
            <w:pPr>
              <w:widowControl/>
              <w:jc w:val="center"/>
              <w:rPr>
                <w:rFonts w:hint="eastAsia" w:eastAsia="宋体"/>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lang w:val="en-US" w:eastAsia="zh-CN"/>
                <w14:textFill>
                  <w14:solidFill>
                    <w14:schemeClr w14:val="tx1"/>
                  </w14:solidFill>
                </w14:textFill>
              </w:rPr>
              <w:t>6</w:t>
            </w:r>
          </w:p>
        </w:tc>
        <w:tc>
          <w:tcPr>
            <w:tcW w:w="975" w:type="dxa"/>
            <w:noWrap w:val="0"/>
            <w:vAlign w:val="center"/>
          </w:tcPr>
          <w:p w14:paraId="41FDC40A">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附加条件</w:t>
            </w:r>
          </w:p>
        </w:tc>
        <w:tc>
          <w:tcPr>
            <w:tcW w:w="3620" w:type="dxa"/>
            <w:noWrap w:val="0"/>
            <w:vAlign w:val="center"/>
          </w:tcPr>
          <w:p w14:paraId="24ED2032">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w:t>
            </w:r>
            <w:r>
              <w:rPr>
                <w:rFonts w:hint="eastAsia"/>
                <w:color w:val="000000" w:themeColor="text1"/>
                <w:sz w:val="24"/>
                <w:highlight w:val="none"/>
                <w14:textFill>
                  <w14:solidFill>
                    <w14:schemeClr w14:val="tx1"/>
                  </w14:solidFill>
                </w14:textFill>
              </w:rPr>
              <w:t>未</w:t>
            </w:r>
            <w:r>
              <w:rPr>
                <w:color w:val="000000" w:themeColor="text1"/>
                <w:sz w:val="24"/>
                <w:highlight w:val="none"/>
                <w14:textFill>
                  <w14:solidFill>
                    <w14:schemeClr w14:val="tx1"/>
                  </w14:solidFill>
                </w14:textFill>
              </w:rPr>
              <w:t>含有采购人不能接受的附加条件的；</w:t>
            </w:r>
          </w:p>
        </w:tc>
      </w:tr>
      <w:tr w14:paraId="2DA5B7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22228111">
            <w:pPr>
              <w:widowControl/>
              <w:jc w:val="center"/>
              <w:rPr>
                <w:rFonts w:hint="eastAsia" w:eastAsia="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rFonts w:hint="eastAsia"/>
                <w:color w:val="000000" w:themeColor="text1"/>
                <w:sz w:val="24"/>
                <w:highlight w:val="none"/>
                <w:lang w:val="en-US" w:eastAsia="zh-CN"/>
                <w14:textFill>
                  <w14:solidFill>
                    <w14:schemeClr w14:val="tx1"/>
                  </w14:solidFill>
                </w14:textFill>
              </w:rPr>
              <w:t>7</w:t>
            </w:r>
          </w:p>
        </w:tc>
        <w:tc>
          <w:tcPr>
            <w:tcW w:w="975" w:type="dxa"/>
            <w:noWrap w:val="0"/>
            <w:vAlign w:val="center"/>
          </w:tcPr>
          <w:p w14:paraId="0DA7DD5F">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其他无效情形</w:t>
            </w:r>
          </w:p>
        </w:tc>
        <w:tc>
          <w:tcPr>
            <w:tcW w:w="3620" w:type="dxa"/>
            <w:noWrap w:val="0"/>
            <w:vAlign w:val="center"/>
          </w:tcPr>
          <w:p w14:paraId="05E79FEA">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供应商、响应文件</w:t>
            </w:r>
            <w:r>
              <w:rPr>
                <w:rFonts w:hint="eastAsia"/>
                <w:color w:val="000000" w:themeColor="text1"/>
                <w:sz w:val="24"/>
                <w:highlight w:val="none"/>
                <w14:textFill>
                  <w14:solidFill>
                    <w14:schemeClr w14:val="tx1"/>
                  </w14:solidFill>
                </w14:textFill>
              </w:rPr>
              <w:t>不存在</w:t>
            </w:r>
            <w:r>
              <w:rPr>
                <w:color w:val="000000" w:themeColor="text1"/>
                <w:sz w:val="24"/>
                <w:highlight w:val="none"/>
                <w14:textFill>
                  <w14:solidFill>
                    <w14:schemeClr w14:val="tx1"/>
                  </w14:solidFill>
                </w14:textFill>
              </w:rPr>
              <w:t>不符合法律、法规和磋商文件规定的其他无效情形。</w:t>
            </w:r>
          </w:p>
        </w:tc>
      </w:tr>
    </w:tbl>
    <w:p w14:paraId="2E547E99">
      <w:pPr>
        <w:numPr>
          <w:ilvl w:val="0"/>
          <w:numId w:val="12"/>
        </w:numPr>
        <w:tabs>
          <w:tab w:val="left" w:pos="360"/>
        </w:tabs>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磋商、响应文件有关事项的澄清、说明或者更正和最终报价</w:t>
      </w:r>
    </w:p>
    <w:p w14:paraId="797B4902">
      <w:pPr>
        <w:numPr>
          <w:ilvl w:val="1"/>
          <w:numId w:val="12"/>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磋商小组所有成员应当集中与单一供应商分别进行磋商，并给予所有参加磋商的供应商平等的磋商机会。</w:t>
      </w:r>
    </w:p>
    <w:p w14:paraId="5E7B91C2">
      <w:pPr>
        <w:numPr>
          <w:ilvl w:val="1"/>
          <w:numId w:val="12"/>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在磋商过程中，磋商小组可以根据磋商文件和磋商情况实质性变动采购需求中的技术、服务要求以及合同草案条款，但不得变动磋商文件中的其他内容。实质性变动的内容，须经采购人代表确认。</w:t>
      </w:r>
    </w:p>
    <w:p w14:paraId="1D93AA0F">
      <w:pPr>
        <w:numPr>
          <w:ilvl w:val="1"/>
          <w:numId w:val="12"/>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对磋商文件作出的实质性变动是磋商文件的有效组成部分，磋商小组应当及时</w:t>
      </w:r>
      <w:r>
        <w:rPr>
          <w:rFonts w:hint="eastAsia"/>
          <w:color w:val="000000" w:themeColor="text1"/>
          <w:sz w:val="24"/>
          <w:highlight w:val="none"/>
          <w14:textFill>
            <w14:solidFill>
              <w14:schemeClr w14:val="tx1"/>
            </w14:solidFill>
          </w14:textFill>
        </w:rPr>
        <w:t>通过</w:t>
      </w:r>
      <w:r>
        <w:rPr>
          <w:rFonts w:hint="eastAsia"/>
          <w:color w:val="000000" w:themeColor="text1"/>
          <w:sz w:val="24"/>
          <w:highlight w:val="none"/>
          <w:lang w:eastAsia="zh-CN"/>
          <w14:textFill>
            <w14:solidFill>
              <w14:schemeClr w14:val="tx1"/>
            </w14:solidFill>
          </w14:textFill>
        </w:rPr>
        <w:t>“苏采云”政府采购一体化平台供应商端</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以书面形式同时通知所有参加磋商的供应商。</w:t>
      </w:r>
    </w:p>
    <w:p w14:paraId="2902C960">
      <w:pPr>
        <w:numPr>
          <w:ilvl w:val="1"/>
          <w:numId w:val="12"/>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7D60F6AF">
      <w:pPr>
        <w:numPr>
          <w:ilvl w:val="1"/>
          <w:numId w:val="12"/>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响应文件的澄清、说明或者更正</w:t>
      </w:r>
      <w:r>
        <w:rPr>
          <w:rFonts w:hint="eastAsia"/>
          <w:color w:val="000000" w:themeColor="text1"/>
          <w:sz w:val="24"/>
          <w:highlight w:val="none"/>
          <w14:textFill>
            <w14:solidFill>
              <w14:schemeClr w14:val="tx1"/>
            </w14:solidFill>
          </w14:textFill>
        </w:rPr>
        <w:t>：</w:t>
      </w:r>
    </w:p>
    <w:p w14:paraId="7F26B705">
      <w:pPr>
        <w:tabs>
          <w:tab w:val="left" w:pos="1980"/>
        </w:tabs>
        <w:spacing w:line="360" w:lineRule="auto"/>
        <w:ind w:left="10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评审</w:t>
      </w:r>
      <w:r>
        <w:rPr>
          <w:color w:val="000000" w:themeColor="text1"/>
          <w:sz w:val="24"/>
          <w:highlight w:val="none"/>
          <w14:textFill>
            <w14:solidFill>
              <w14:schemeClr w14:val="tx1"/>
            </w14:solidFill>
          </w14:textFill>
        </w:rPr>
        <w:t>过程中，</w:t>
      </w:r>
      <w:r>
        <w:rPr>
          <w:rFonts w:hint="eastAsia"/>
          <w:color w:val="000000" w:themeColor="text1"/>
          <w:sz w:val="24"/>
          <w:highlight w:val="none"/>
          <w14:textFill>
            <w14:solidFill>
              <w14:schemeClr w14:val="tx1"/>
            </w14:solidFill>
          </w14:textFill>
        </w:rPr>
        <w:t>磋商小组</w:t>
      </w:r>
      <w:r>
        <w:rPr>
          <w:color w:val="000000" w:themeColor="text1"/>
          <w:sz w:val="24"/>
          <w:highlight w:val="none"/>
          <w14:textFill>
            <w14:solidFill>
              <w14:schemeClr w14:val="tx1"/>
            </w14:solidFill>
          </w14:textFill>
        </w:rPr>
        <w:t>会将</w:t>
      </w:r>
      <w:r>
        <w:rPr>
          <w:rFonts w:hint="eastAsia"/>
          <w:color w:val="000000" w:themeColor="text1"/>
          <w:sz w:val="24"/>
          <w:highlight w:val="none"/>
          <w14:textFill>
            <w14:solidFill>
              <w14:schemeClr w14:val="tx1"/>
            </w14:solidFill>
          </w14:textFill>
        </w:rPr>
        <w:t>通过</w:t>
      </w:r>
      <w:r>
        <w:rPr>
          <w:rFonts w:hint="eastAsia"/>
          <w:color w:val="000000" w:themeColor="text1"/>
          <w:sz w:val="24"/>
          <w:highlight w:val="none"/>
          <w:lang w:eastAsia="zh-CN"/>
          <w14:textFill>
            <w14:solidFill>
              <w14:schemeClr w14:val="tx1"/>
            </w14:solidFill>
          </w14:textFill>
        </w:rPr>
        <w:t>“苏采云”政府采购一体化平台供应商端</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以书面形式要求</w:t>
      </w:r>
      <w:r>
        <w:rPr>
          <w:rFonts w:hint="eastAsia"/>
          <w:color w:val="000000" w:themeColor="text1"/>
          <w:sz w:val="24"/>
          <w:highlight w:val="none"/>
          <w14:textFill>
            <w14:solidFill>
              <w14:schemeClr w14:val="tx1"/>
            </w14:solidFill>
          </w14:textFill>
        </w:rPr>
        <w:t>供应商</w:t>
      </w:r>
      <w:r>
        <w:rPr>
          <w:color w:val="000000" w:themeColor="text1"/>
          <w:sz w:val="24"/>
          <w:highlight w:val="none"/>
          <w14:textFill>
            <w14:solidFill>
              <w14:schemeClr w14:val="tx1"/>
            </w14:solidFill>
          </w14:textFill>
        </w:rPr>
        <w:t>对其</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文件中含义不明确、同类问题表述不一致或者有明显文字和计算错误的内容，作出必要的澄清、说明或者补正。</w:t>
      </w:r>
      <w:r>
        <w:rPr>
          <w:rFonts w:hint="eastAsia"/>
          <w:color w:val="000000" w:themeColor="text1"/>
          <w:sz w:val="24"/>
          <w:highlight w:val="none"/>
          <w14:textFill>
            <w14:solidFill>
              <w14:schemeClr w14:val="tx1"/>
            </w14:solidFill>
          </w14:textFill>
        </w:rPr>
        <w:t>供应商</w:t>
      </w:r>
      <w:r>
        <w:rPr>
          <w:color w:val="000000" w:themeColor="text1"/>
          <w:sz w:val="24"/>
          <w:highlight w:val="none"/>
          <w14:textFill>
            <w14:solidFill>
              <w14:schemeClr w14:val="tx1"/>
            </w14:solidFill>
          </w14:textFill>
        </w:rPr>
        <w:t>的澄清、说明或者补正应当采用书面形式，并加盖</w:t>
      </w:r>
      <w:r>
        <w:rPr>
          <w:rFonts w:hint="eastAsia"/>
          <w:color w:val="000000" w:themeColor="text1"/>
          <w:sz w:val="24"/>
          <w:highlight w:val="none"/>
          <w14:textFill>
            <w14:solidFill>
              <w14:schemeClr w14:val="tx1"/>
            </w14:solidFill>
          </w14:textFill>
        </w:rPr>
        <w:t>电子</w:t>
      </w:r>
      <w:r>
        <w:rPr>
          <w:color w:val="000000" w:themeColor="text1"/>
          <w:sz w:val="24"/>
          <w:highlight w:val="none"/>
          <w14:textFill>
            <w14:solidFill>
              <w14:schemeClr w14:val="tx1"/>
            </w14:solidFill>
          </w14:textFill>
        </w:rPr>
        <w:t>公章。</w:t>
      </w:r>
      <w:r>
        <w:rPr>
          <w:rFonts w:hint="eastAsia"/>
          <w:color w:val="000000" w:themeColor="text1"/>
          <w:sz w:val="24"/>
          <w:highlight w:val="none"/>
          <w14:textFill>
            <w14:solidFill>
              <w14:schemeClr w14:val="tx1"/>
            </w14:solidFill>
          </w14:textFill>
        </w:rPr>
        <w:t>供应商</w:t>
      </w:r>
      <w:r>
        <w:rPr>
          <w:color w:val="000000" w:themeColor="text1"/>
          <w:sz w:val="24"/>
          <w:highlight w:val="none"/>
          <w14:textFill>
            <w14:solidFill>
              <w14:schemeClr w14:val="tx1"/>
            </w14:solidFill>
          </w14:textFill>
        </w:rPr>
        <w:t>的澄清、说明或者补正不得超出</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文件的范围或者改变</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文件的实质性内容。澄清文件将作为</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文件内容的一部分。</w:t>
      </w:r>
    </w:p>
    <w:p w14:paraId="4A6647E8">
      <w:pPr>
        <w:numPr>
          <w:ilvl w:val="1"/>
          <w:numId w:val="12"/>
        </w:numPr>
        <w:tabs>
          <w:tab w:val="left" w:pos="1080"/>
          <w:tab w:val="left" w:pos="1872"/>
        </w:tabs>
        <w:spacing w:line="360" w:lineRule="auto"/>
        <w:ind w:left="1077" w:hanging="720"/>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磋商结束后，磋商小组将要求所有实质性响应的供应商在规定时间内</w:t>
      </w:r>
      <w:r>
        <w:rPr>
          <w:rFonts w:hint="eastAsia"/>
          <w:b/>
          <w:color w:val="000000" w:themeColor="text1"/>
          <w:sz w:val="24"/>
          <w:highlight w:val="none"/>
          <w14:textFill>
            <w14:solidFill>
              <w14:schemeClr w14:val="tx1"/>
            </w14:solidFill>
          </w14:textFill>
        </w:rPr>
        <w:t>通过</w:t>
      </w:r>
      <w:r>
        <w:rPr>
          <w:rFonts w:hint="eastAsia"/>
          <w:b/>
          <w:color w:val="000000" w:themeColor="text1"/>
          <w:sz w:val="24"/>
          <w:highlight w:val="none"/>
          <w:lang w:eastAsia="zh-CN"/>
          <w14:textFill>
            <w14:solidFill>
              <w14:schemeClr w14:val="tx1"/>
            </w14:solidFill>
          </w14:textFill>
        </w:rPr>
        <w:t>“苏采云”政府采购一体化平台供应商端</w:t>
      </w:r>
      <w:r>
        <w:rPr>
          <w:rFonts w:hint="eastAsia"/>
          <w:b/>
          <w:color w:val="000000" w:themeColor="text1"/>
          <w:sz w:val="24"/>
          <w:highlight w:val="none"/>
          <w14:textFill>
            <w14:solidFill>
              <w14:schemeClr w14:val="tx1"/>
            </w14:solidFill>
          </w14:textFill>
        </w:rPr>
        <w:t>系统</w:t>
      </w:r>
      <w:r>
        <w:rPr>
          <w:b/>
          <w:color w:val="000000" w:themeColor="text1"/>
          <w:sz w:val="24"/>
          <w:highlight w:val="none"/>
          <w14:textFill>
            <w14:solidFill>
              <w14:schemeClr w14:val="tx1"/>
            </w14:solidFill>
          </w14:textFill>
        </w:rPr>
        <w:t>提交最</w:t>
      </w:r>
      <w:r>
        <w:rPr>
          <w:rFonts w:hint="eastAsia"/>
          <w:b/>
          <w:color w:val="000000" w:themeColor="text1"/>
          <w:sz w:val="24"/>
          <w:highlight w:val="none"/>
          <w14:textFill>
            <w14:solidFill>
              <w14:schemeClr w14:val="tx1"/>
            </w14:solidFill>
          </w14:textFill>
        </w:rPr>
        <w:t>终</w:t>
      </w:r>
      <w:r>
        <w:rPr>
          <w:b/>
          <w:color w:val="000000" w:themeColor="text1"/>
          <w:sz w:val="24"/>
          <w:highlight w:val="none"/>
          <w14:textFill>
            <w14:solidFill>
              <w14:schemeClr w14:val="tx1"/>
            </w14:solidFill>
          </w14:textFill>
        </w:rPr>
        <w:t>报价</w:t>
      </w:r>
      <w:r>
        <w:rPr>
          <w:rFonts w:hint="eastAsia"/>
          <w:b/>
          <w:color w:val="000000" w:themeColor="text1"/>
          <w:sz w:val="24"/>
          <w:highlight w:val="none"/>
          <w:lang w:eastAsia="zh-CN"/>
          <w14:textFill>
            <w14:solidFill>
              <w14:schemeClr w14:val="tx1"/>
            </w14:solidFill>
          </w14:textFill>
        </w:rPr>
        <w:t>。</w:t>
      </w:r>
    </w:p>
    <w:p w14:paraId="06980B0D">
      <w:pPr>
        <w:numPr>
          <w:ilvl w:val="1"/>
          <w:numId w:val="12"/>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5384E003">
      <w:pPr>
        <w:numPr>
          <w:ilvl w:val="1"/>
          <w:numId w:val="12"/>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最终报价是供应商响应文件的有效组成部分。</w:t>
      </w:r>
    </w:p>
    <w:p w14:paraId="2C4DFD6F">
      <w:pPr>
        <w:numPr>
          <w:ilvl w:val="1"/>
          <w:numId w:val="12"/>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已提交响应文件的供应商，在提交最终报价之前，可以根据磋商情况退出磋商。</w:t>
      </w:r>
    </w:p>
    <w:p w14:paraId="66E47046">
      <w:pPr>
        <w:numPr>
          <w:ilvl w:val="0"/>
          <w:numId w:val="12"/>
        </w:numPr>
        <w:tabs>
          <w:tab w:val="left" w:pos="360"/>
        </w:tabs>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最终报价的算术修正及政策调整</w:t>
      </w:r>
    </w:p>
    <w:p w14:paraId="6C6300E2">
      <w:pPr>
        <w:numPr>
          <w:ilvl w:val="1"/>
          <w:numId w:val="12"/>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最终报价须包含竞争性磋商文件全部内容，如</w:t>
      </w:r>
      <w:r>
        <w:rPr>
          <w:rFonts w:hint="eastAsia"/>
          <w:color w:val="000000" w:themeColor="text1"/>
          <w:sz w:val="24"/>
          <w:highlight w:val="none"/>
          <w14:textFill>
            <w14:solidFill>
              <w14:schemeClr w14:val="tx1"/>
            </w14:solidFill>
          </w14:textFill>
        </w:rPr>
        <w:t>最后</w:t>
      </w:r>
      <w:r>
        <w:rPr>
          <w:color w:val="000000" w:themeColor="text1"/>
          <w:sz w:val="24"/>
          <w:highlight w:val="none"/>
          <w14:textFill>
            <w14:solidFill>
              <w14:schemeClr w14:val="tx1"/>
            </w14:solidFill>
          </w14:textFill>
        </w:rPr>
        <w:t>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14079301">
      <w:pPr>
        <w:numPr>
          <w:ilvl w:val="1"/>
          <w:numId w:val="12"/>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最终报价出现前后不一致的，按照下列规定修正：</w:t>
      </w:r>
    </w:p>
    <w:p w14:paraId="3FD29FB6">
      <w:pPr>
        <w:numPr>
          <w:ilvl w:val="2"/>
          <w:numId w:val="12"/>
        </w:numPr>
        <w:tabs>
          <w:tab w:val="left" w:pos="1080"/>
          <w:tab w:val="left" w:pos="1589"/>
          <w:tab w:val="left" w:pos="2035"/>
          <w:tab w:val="left" w:pos="2114"/>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竞争性磋商文件对于报价修正是否另有规定：</w:t>
      </w:r>
    </w:p>
    <w:p w14:paraId="71AFC1D0">
      <w:pPr>
        <w:tabs>
          <w:tab w:val="left" w:pos="1080"/>
          <w:tab w:val="left" w:pos="1589"/>
          <w:tab w:val="left" w:pos="2035"/>
          <w:tab w:val="left" w:pos="2114"/>
        </w:tabs>
        <w:spacing w:line="360" w:lineRule="auto"/>
        <w:ind w:left="2035"/>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□有，具体规定为：___________</w:t>
      </w:r>
    </w:p>
    <w:p w14:paraId="08CE52EF">
      <w:pPr>
        <w:tabs>
          <w:tab w:val="left" w:pos="1080"/>
          <w:tab w:val="left" w:pos="1589"/>
          <w:tab w:val="left" w:pos="2035"/>
          <w:tab w:val="left" w:pos="2114"/>
        </w:tabs>
        <w:spacing w:line="360" w:lineRule="auto"/>
        <w:ind w:left="2035"/>
        <w:rPr>
          <w:color w:val="000000" w:themeColor="text1"/>
          <w:sz w:val="24"/>
          <w:highlight w:val="none"/>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无，按下述3.2.2-3.2.5项规定修正。</w:t>
      </w:r>
    </w:p>
    <w:p w14:paraId="4F093224">
      <w:pPr>
        <w:numPr>
          <w:ilvl w:val="2"/>
          <w:numId w:val="12"/>
        </w:numPr>
        <w:tabs>
          <w:tab w:val="left" w:pos="2035"/>
          <w:tab w:val="left" w:pos="2114"/>
          <w:tab w:val="left" w:pos="2977"/>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大写金额和小写金额不一致的，以大写金额为准；</w:t>
      </w:r>
    </w:p>
    <w:p w14:paraId="1A42DC1B">
      <w:pPr>
        <w:numPr>
          <w:ilvl w:val="2"/>
          <w:numId w:val="12"/>
        </w:numPr>
        <w:tabs>
          <w:tab w:val="left" w:pos="2035"/>
          <w:tab w:val="left" w:pos="2114"/>
          <w:tab w:val="left" w:pos="2977"/>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单价金额小数点或者百分比有明显错位的，以最终报价一览表的总价为准，并修改单价；</w:t>
      </w:r>
    </w:p>
    <w:p w14:paraId="0C22C5AD">
      <w:pPr>
        <w:numPr>
          <w:ilvl w:val="2"/>
          <w:numId w:val="12"/>
        </w:numPr>
        <w:tabs>
          <w:tab w:val="left" w:pos="2035"/>
          <w:tab w:val="left" w:pos="2114"/>
          <w:tab w:val="left" w:pos="2977"/>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总价金额与按单价汇总金额不一致的，以单价金额计算结果为准。</w:t>
      </w:r>
    </w:p>
    <w:p w14:paraId="3E02275A">
      <w:pPr>
        <w:numPr>
          <w:ilvl w:val="2"/>
          <w:numId w:val="12"/>
        </w:numPr>
        <w:tabs>
          <w:tab w:val="left" w:pos="1080"/>
          <w:tab w:val="left" w:pos="1589"/>
          <w:tab w:val="left" w:pos="2035"/>
          <w:tab w:val="left" w:pos="2114"/>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同时出现两种以上不一致的，按照前款规定的顺序修正。修正后的报价经供应商书面确认后产生约束力，供应商不确认的，</w:t>
      </w:r>
      <w:r>
        <w:rPr>
          <w:b/>
          <w:color w:val="000000" w:themeColor="text1"/>
          <w:sz w:val="24"/>
          <w:highlight w:val="none"/>
          <w14:textFill>
            <w14:solidFill>
              <w14:schemeClr w14:val="tx1"/>
            </w14:solidFill>
          </w14:textFill>
        </w:rPr>
        <w:t>其响应无效</w:t>
      </w:r>
      <w:r>
        <w:rPr>
          <w:color w:val="000000" w:themeColor="text1"/>
          <w:sz w:val="24"/>
          <w:highlight w:val="none"/>
          <w14:textFill>
            <w14:solidFill>
              <w14:schemeClr w14:val="tx1"/>
            </w14:solidFill>
          </w14:textFill>
        </w:rPr>
        <w:t>。</w:t>
      </w:r>
    </w:p>
    <w:p w14:paraId="6178A5A8">
      <w:pPr>
        <w:numPr>
          <w:ilvl w:val="1"/>
          <w:numId w:val="12"/>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落实政府采购政策的价格调整：只有符合第二章《供应商须知》4.2条规定情形的，可以享受中小企业扶持政策，用扣除后的价格参加评审；否则，评审时价格不予扣除。</w:t>
      </w:r>
    </w:p>
    <w:p w14:paraId="07D792F0">
      <w:pPr>
        <w:numPr>
          <w:ilvl w:val="2"/>
          <w:numId w:val="12"/>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对于未预留份额专门面向中小企业采购的采购项目，以及预留份额项目中的非预留部分采购包，对</w:t>
      </w:r>
      <w:r>
        <w:rPr>
          <w:b/>
          <w:color w:val="000000" w:themeColor="text1"/>
          <w:sz w:val="24"/>
          <w:highlight w:val="none"/>
          <w14:textFill>
            <w14:solidFill>
              <w14:schemeClr w14:val="tx1"/>
            </w14:solidFill>
          </w14:textFill>
        </w:rPr>
        <w:t>小微企业</w:t>
      </w:r>
      <w:r>
        <w:rPr>
          <w:color w:val="000000" w:themeColor="text1"/>
          <w:sz w:val="24"/>
          <w:highlight w:val="none"/>
          <w14:textFill>
            <w14:solidFill>
              <w14:schemeClr w14:val="tx1"/>
            </w14:solidFill>
          </w14:textFill>
        </w:rPr>
        <w:t>报价给予</w:t>
      </w:r>
      <w:r>
        <w:rPr>
          <w:rFonts w:hint="eastAsia"/>
          <w:color w:val="000000" w:themeColor="text1"/>
          <w:sz w:val="24"/>
          <w:highlight w:val="none"/>
          <w14:textFill>
            <w14:solidFill>
              <w14:schemeClr w14:val="tx1"/>
            </w14:solidFill>
          </w14:textFill>
        </w:rPr>
        <w:t>20</w:t>
      </w:r>
      <w:r>
        <w:rPr>
          <w:color w:val="000000" w:themeColor="text1"/>
          <w:sz w:val="24"/>
          <w:highlight w:val="none"/>
          <w14:textFill>
            <w14:solidFill>
              <w14:schemeClr w14:val="tx1"/>
            </w14:solidFill>
          </w14:textFill>
        </w:rPr>
        <w:t>%的扣除，用扣除后的价格参加评审。</w:t>
      </w:r>
    </w:p>
    <w:p w14:paraId="500E3A87">
      <w:pPr>
        <w:numPr>
          <w:ilvl w:val="2"/>
          <w:numId w:val="12"/>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对于未预留份额专门面向中小企业采购的采购项目，以及预留份额项目中的非预留部分采购包，且接受大中型企业与</w:t>
      </w:r>
      <w:r>
        <w:rPr>
          <w:b/>
          <w:color w:val="000000" w:themeColor="text1"/>
          <w:sz w:val="24"/>
          <w:highlight w:val="none"/>
          <w14:textFill>
            <w14:solidFill>
              <w14:schemeClr w14:val="tx1"/>
            </w14:solidFill>
          </w14:textFill>
        </w:rPr>
        <w:t>小微企业</w:t>
      </w:r>
      <w:r>
        <w:rPr>
          <w:color w:val="000000" w:themeColor="text1"/>
          <w:sz w:val="24"/>
          <w:highlight w:val="none"/>
          <w14:textFill>
            <w14:solidFill>
              <w14:schemeClr w14:val="tx1"/>
            </w14:solidFill>
          </w14:textFill>
        </w:rPr>
        <w:t>组成联合体或者允许大中型企业向一家或者多家</w:t>
      </w:r>
      <w:r>
        <w:rPr>
          <w:b/>
          <w:color w:val="000000" w:themeColor="text1"/>
          <w:sz w:val="24"/>
          <w:highlight w:val="none"/>
          <w14:textFill>
            <w14:solidFill>
              <w14:schemeClr w14:val="tx1"/>
            </w14:solidFill>
          </w14:textFill>
        </w:rPr>
        <w:t>小微企业</w:t>
      </w:r>
      <w:r>
        <w:rPr>
          <w:color w:val="000000" w:themeColor="text1"/>
          <w:sz w:val="24"/>
          <w:highlight w:val="none"/>
          <w14:textFill>
            <w14:solidFill>
              <w14:schemeClr w14:val="tx1"/>
            </w14:solidFill>
          </w14:textFill>
        </w:rPr>
        <w:t>分包的采购项目，对于联合协议或者分包意向协议约定</w:t>
      </w:r>
      <w:r>
        <w:rPr>
          <w:b/>
          <w:color w:val="000000" w:themeColor="text1"/>
          <w:sz w:val="24"/>
          <w:highlight w:val="none"/>
          <w14:textFill>
            <w14:solidFill>
              <w14:schemeClr w14:val="tx1"/>
            </w14:solidFill>
          </w14:textFill>
        </w:rPr>
        <w:t>小微企业</w:t>
      </w:r>
      <w:r>
        <w:rPr>
          <w:color w:val="000000" w:themeColor="text1"/>
          <w:sz w:val="24"/>
          <w:highlight w:val="none"/>
          <w14:textFill>
            <w14:solidFill>
              <w14:schemeClr w14:val="tx1"/>
            </w14:solidFill>
          </w14:textFill>
        </w:rPr>
        <w:t>的合同份额占到合同总金额 30%以上的联合体或者大中型企业的报价给予</w:t>
      </w:r>
      <w:r>
        <w:rPr>
          <w:rFonts w:hint="eastAsia"/>
          <w:color w:val="000000" w:themeColor="text1"/>
          <w:sz w:val="24"/>
          <w:highlight w:val="none"/>
          <w14:textFill>
            <w14:solidFill>
              <w14:schemeClr w14:val="tx1"/>
            </w14:solidFill>
          </w14:textFill>
        </w:rPr>
        <w:t>3</w:t>
      </w:r>
      <w:r>
        <w:rPr>
          <w:color w:val="000000" w:themeColor="text1"/>
          <w:sz w:val="24"/>
          <w:highlight w:val="none"/>
          <w14:textFill>
            <w14:solidFill>
              <w14:schemeClr w14:val="tx1"/>
            </w14:solidFill>
          </w14:textFill>
        </w:rPr>
        <w:t>%的扣除，用扣除后的价格参加评审。</w:t>
      </w:r>
    </w:p>
    <w:p w14:paraId="22523233">
      <w:pPr>
        <w:numPr>
          <w:ilvl w:val="2"/>
          <w:numId w:val="12"/>
        </w:numPr>
        <w:tabs>
          <w:tab w:val="left" w:pos="1080"/>
          <w:tab w:val="left" w:pos="1589"/>
          <w:tab w:val="left" w:pos="2035"/>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组成联合体或者接受分包的小微企业与联合体内其他企业、分包企业之间存在直接控股、管理关系的，不享受价格扣除优惠政策。</w:t>
      </w:r>
    </w:p>
    <w:p w14:paraId="5EAE9DA3">
      <w:pPr>
        <w:numPr>
          <w:ilvl w:val="2"/>
          <w:numId w:val="12"/>
        </w:numPr>
        <w:tabs>
          <w:tab w:val="left" w:pos="1080"/>
          <w:tab w:val="left" w:pos="1589"/>
          <w:tab w:val="left" w:pos="2035"/>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价格扣除比例对小型企业和微型企业同等对待，不作区分。</w:t>
      </w:r>
    </w:p>
    <w:p w14:paraId="5416B30D">
      <w:pPr>
        <w:numPr>
          <w:ilvl w:val="2"/>
          <w:numId w:val="12"/>
        </w:numPr>
        <w:tabs>
          <w:tab w:val="left" w:pos="1080"/>
          <w:tab w:val="left" w:pos="1589"/>
          <w:tab w:val="left" w:pos="2035"/>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中小企业参加政府采购活动，应当按照竞争性磋商文件给定的格式出具《中小企业声明函》，否则不得享受相关中小企业扶持政策。</w:t>
      </w:r>
    </w:p>
    <w:p w14:paraId="320A5592">
      <w:pPr>
        <w:numPr>
          <w:ilvl w:val="2"/>
          <w:numId w:val="12"/>
        </w:numPr>
        <w:tabs>
          <w:tab w:val="left" w:pos="1080"/>
          <w:tab w:val="left" w:pos="1589"/>
          <w:tab w:val="left" w:pos="2035"/>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监狱企业提供了由省级以上监狱管理局（常州市含教育矫治局）、戒毒管理局（含新疆生产建设兵团）出具的属于监狱企业的证明文件的，视同小微企业。</w:t>
      </w:r>
    </w:p>
    <w:p w14:paraId="00A9D47C">
      <w:pPr>
        <w:numPr>
          <w:ilvl w:val="2"/>
          <w:numId w:val="12"/>
        </w:numPr>
        <w:tabs>
          <w:tab w:val="left" w:pos="1080"/>
          <w:tab w:val="left" w:pos="1589"/>
          <w:tab w:val="left" w:pos="2035"/>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残疾人福利性单位按竞争性磋商文件要求提供了《残疾人福利性单位声明函》（见附件）的，视同小微企业。</w:t>
      </w:r>
    </w:p>
    <w:p w14:paraId="6EEDBFFF">
      <w:pPr>
        <w:numPr>
          <w:ilvl w:val="2"/>
          <w:numId w:val="12"/>
        </w:numPr>
        <w:tabs>
          <w:tab w:val="left" w:pos="1080"/>
          <w:tab w:val="left" w:pos="1589"/>
          <w:tab w:val="left" w:pos="2014"/>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若供应商同时属于小型或微型企业、监狱企业、残疾人福利性单位中的两种及以上，将不重复享受小微企业价格扣减的优惠政策。</w:t>
      </w:r>
    </w:p>
    <w:p w14:paraId="7D2B34EB">
      <w:pPr>
        <w:numPr>
          <w:ilvl w:val="2"/>
          <w:numId w:val="12"/>
        </w:numPr>
        <w:tabs>
          <w:tab w:val="left" w:pos="1080"/>
          <w:tab w:val="left" w:pos="1589"/>
          <w:tab w:val="left" w:pos="2014"/>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其他为落实政府采购政策实施的优先采购：__</w:t>
      </w:r>
      <w:r>
        <w:rPr>
          <w:rFonts w:hint="eastAsia"/>
          <w:color w:val="000000" w:themeColor="text1"/>
          <w:sz w:val="24"/>
          <w:highlight w:val="none"/>
          <w:lang w:val="en-US" w:eastAsia="zh-CN"/>
          <w14:textFill>
            <w14:solidFill>
              <w14:schemeClr w14:val="tx1"/>
            </w14:solidFill>
          </w14:textFill>
        </w:rPr>
        <w:t>/</w:t>
      </w:r>
      <w:r>
        <w:rPr>
          <w:color w:val="000000" w:themeColor="text1"/>
          <w:sz w:val="24"/>
          <w:highlight w:val="none"/>
          <w14:textFill>
            <w14:solidFill>
              <w14:schemeClr w14:val="tx1"/>
            </w14:solidFill>
          </w14:textFill>
        </w:rPr>
        <w:t>____。</w:t>
      </w:r>
    </w:p>
    <w:p w14:paraId="184D0A2D">
      <w:pPr>
        <w:numPr>
          <w:ilvl w:val="0"/>
          <w:numId w:val="12"/>
        </w:numPr>
        <w:tabs>
          <w:tab w:val="left" w:pos="360"/>
        </w:tabs>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磋商环节及提交最终报价后如出现以下情况的，供应商的</w:t>
      </w:r>
      <w:r>
        <w:rPr>
          <w:b/>
          <w:color w:val="000000" w:themeColor="text1"/>
          <w:sz w:val="24"/>
          <w:highlight w:val="none"/>
          <w14:textFill>
            <w14:solidFill>
              <w14:schemeClr w14:val="tx1"/>
            </w14:solidFill>
          </w14:textFill>
        </w:rPr>
        <w:t>响应文件无效</w:t>
      </w:r>
      <w:r>
        <w:rPr>
          <w:color w:val="000000" w:themeColor="text1"/>
          <w:sz w:val="24"/>
          <w:highlight w:val="none"/>
          <w14:textFill>
            <w14:solidFill>
              <w14:schemeClr w14:val="tx1"/>
            </w14:solidFill>
          </w14:textFill>
        </w:rPr>
        <w:t>：</w:t>
      </w:r>
    </w:p>
    <w:p w14:paraId="208301B1">
      <w:pPr>
        <w:numPr>
          <w:ilvl w:val="1"/>
          <w:numId w:val="12"/>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供应商对实质性变动不予确认的；</w:t>
      </w:r>
    </w:p>
    <w:p w14:paraId="063648AF">
      <w:pPr>
        <w:numPr>
          <w:ilvl w:val="1"/>
          <w:numId w:val="12"/>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不满足磋商文件</w:t>
      </w:r>
      <w:r>
        <w:rPr>
          <w:rFonts w:ascii="Segoe UI Symbol" w:hAnsi="Segoe UI Symbol" w:cs="Segoe UI Symbol"/>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号条款或磋商文件技术指标超出磋商文件</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采购需求</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中主要技术参数允许偏差的最大范围的（如有）；</w:t>
      </w:r>
    </w:p>
    <w:p w14:paraId="5F540DBC">
      <w:pPr>
        <w:numPr>
          <w:ilvl w:val="1"/>
          <w:numId w:val="12"/>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未按照磋商小组规定的时间、逾期提交最终报价的；</w:t>
      </w:r>
    </w:p>
    <w:p w14:paraId="1BEDEF2C">
      <w:pPr>
        <w:numPr>
          <w:ilvl w:val="1"/>
          <w:numId w:val="12"/>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如供应商的最终报价超过竞争性磋商文件中规定的项目/采购包预算金额或者项目/采购包最高限价的；</w:t>
      </w:r>
    </w:p>
    <w:p w14:paraId="0EA8B002">
      <w:pPr>
        <w:numPr>
          <w:ilvl w:val="1"/>
          <w:numId w:val="12"/>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响应文件中出现可选择性或可调整的报价的（竞争性磋商文件另有规定的除外）；</w:t>
      </w:r>
    </w:p>
    <w:p w14:paraId="31641860">
      <w:pPr>
        <w:numPr>
          <w:ilvl w:val="1"/>
          <w:numId w:val="12"/>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最终报价出现前后不一致，供应商对修正后的报价不予确认的；</w:t>
      </w:r>
    </w:p>
    <w:p w14:paraId="15BCFDC0">
      <w:pPr>
        <w:numPr>
          <w:ilvl w:val="1"/>
          <w:numId w:val="12"/>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其他：___</w:t>
      </w:r>
      <w:r>
        <w:rPr>
          <w:rFonts w:hint="eastAsia"/>
          <w:color w:val="000000" w:themeColor="text1"/>
          <w:sz w:val="24"/>
          <w:highlight w:val="none"/>
          <w:lang w:val="en-US" w:eastAsia="zh-CN"/>
          <w14:textFill>
            <w14:solidFill>
              <w14:schemeClr w14:val="tx1"/>
            </w14:solidFill>
          </w14:textFill>
        </w:rPr>
        <w:t>/</w:t>
      </w:r>
      <w:r>
        <w:rPr>
          <w:color w:val="000000" w:themeColor="text1"/>
          <w:sz w:val="24"/>
          <w:highlight w:val="none"/>
          <w14:textFill>
            <w14:solidFill>
              <w14:schemeClr w14:val="tx1"/>
            </w14:solidFill>
          </w14:textFill>
        </w:rPr>
        <w:t>____。</w:t>
      </w:r>
      <w:bookmarkEnd w:id="620"/>
      <w:bookmarkEnd w:id="621"/>
    </w:p>
    <w:p w14:paraId="65225B4C">
      <w:pPr>
        <w:numPr>
          <w:ilvl w:val="0"/>
          <w:numId w:val="12"/>
        </w:numPr>
        <w:tabs>
          <w:tab w:val="left" w:pos="360"/>
        </w:tabs>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评审方法和评审标准</w:t>
      </w:r>
    </w:p>
    <w:p w14:paraId="3F012F5D">
      <w:pPr>
        <w:numPr>
          <w:ilvl w:val="1"/>
          <w:numId w:val="12"/>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6CE8BA55">
      <w:pPr>
        <w:numPr>
          <w:ilvl w:val="1"/>
          <w:numId w:val="12"/>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竞争性磋商文件中没有规定的评审标准不得作为评审依据。</w:t>
      </w:r>
    </w:p>
    <w:p w14:paraId="48EC8606">
      <w:pPr>
        <w:numPr>
          <w:ilvl w:val="1"/>
          <w:numId w:val="12"/>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非政府强制采购的节能产品或环境标志产品，依据品目清单和认证证书实施政府优先采购。优先采购的具体规定（如涉及）____</w:t>
      </w:r>
      <w:r>
        <w:rPr>
          <w:rFonts w:hint="eastAsia"/>
          <w:color w:val="000000" w:themeColor="text1"/>
          <w:sz w:val="24"/>
          <w:highlight w:val="none"/>
          <w:lang w:val="en-US" w:eastAsia="zh-CN"/>
          <w14:textFill>
            <w14:solidFill>
              <w14:schemeClr w14:val="tx1"/>
            </w14:solidFill>
          </w14:textFill>
        </w:rPr>
        <w:t>/</w:t>
      </w:r>
      <w:r>
        <w:rPr>
          <w:color w:val="000000" w:themeColor="text1"/>
          <w:sz w:val="24"/>
          <w:highlight w:val="none"/>
          <w14:textFill>
            <w14:solidFill>
              <w14:schemeClr w14:val="tx1"/>
            </w14:solidFill>
          </w14:textFill>
        </w:rPr>
        <w:t>___。</w:t>
      </w:r>
    </w:p>
    <w:p w14:paraId="384B3D58">
      <w:pPr>
        <w:numPr>
          <w:ilvl w:val="1"/>
          <w:numId w:val="12"/>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关于无线局域网认证产品政府采购清单中的产品，优先采购的具体规定（如涉及）____</w:t>
      </w:r>
      <w:r>
        <w:rPr>
          <w:rFonts w:hint="eastAsia"/>
          <w:color w:val="000000" w:themeColor="text1"/>
          <w:sz w:val="24"/>
          <w:highlight w:val="none"/>
          <w:lang w:val="en-US" w:eastAsia="zh-CN"/>
          <w14:textFill>
            <w14:solidFill>
              <w14:schemeClr w14:val="tx1"/>
            </w14:solidFill>
          </w14:textFill>
        </w:rPr>
        <w:t>/</w:t>
      </w:r>
      <w:r>
        <w:rPr>
          <w:color w:val="000000" w:themeColor="text1"/>
          <w:sz w:val="24"/>
          <w:highlight w:val="none"/>
          <w14:textFill>
            <w14:solidFill>
              <w14:schemeClr w14:val="tx1"/>
            </w14:solidFill>
          </w14:textFill>
        </w:rPr>
        <w:t>___。</w:t>
      </w:r>
    </w:p>
    <w:p w14:paraId="7FE30F2A">
      <w:pPr>
        <w:numPr>
          <w:ilvl w:val="1"/>
          <w:numId w:val="12"/>
        </w:numPr>
        <w:tabs>
          <w:tab w:val="left" w:pos="1080"/>
          <w:tab w:val="left" w:pos="1872"/>
        </w:tabs>
        <w:spacing w:line="360" w:lineRule="auto"/>
        <w:ind w:left="1077" w:hanging="720"/>
        <w:rPr>
          <w:rFonts w:ascii="Times New Roman" w:hAnsi="Times New Roman" w:cs="Times New Roman"/>
          <w:color w:val="000000" w:themeColor="text1"/>
          <w:sz w:val="24"/>
          <w:highlight w:val="none"/>
          <w14:textFill>
            <w14:solidFill>
              <w14:schemeClr w14:val="tx1"/>
            </w14:solidFill>
          </w14:textFill>
        </w:rPr>
      </w:pPr>
      <w:r>
        <w:rPr>
          <w:rFonts w:hint="eastAsia" w:ascii="Times New Roman" w:hAnsi="Times New Roman" w:cs="Times New Roman"/>
          <w:color w:val="0000FF"/>
          <w:sz w:val="24"/>
          <w:highlight w:val="none"/>
          <w:lang w:val="en-US" w:eastAsia="zh-CN"/>
        </w:rPr>
        <w:t>评标委员会应针对投标文件进行政府采购异常低价审查：</w:t>
      </w:r>
      <w:r>
        <w:rPr>
          <w:rFonts w:hint="eastAsia" w:ascii="Times New Roman" w:hAnsi="Times New Roman" w:cs="Times New Roman"/>
          <w:color w:val="0000FF"/>
          <w:sz w:val="24"/>
          <w:highlight w:val="none"/>
          <w:lang w:val="en-US" w:eastAsia="zh-CN"/>
        </w:rPr>
        <w:br w:type="textWrapping"/>
      </w:r>
      <w:r>
        <w:rPr>
          <w:rFonts w:hint="eastAsia" w:ascii="Times New Roman" w:hAnsi="Times New Roman" w:cs="Times New Roman"/>
          <w:color w:val="0000FF"/>
          <w:sz w:val="24"/>
          <w:highlight w:val="none"/>
          <w:lang w:val="en-US" w:eastAsia="zh-CN"/>
        </w:rPr>
        <w:t>（一）评审过程中出现下列情形之一的，评审委员会应当启动异常低价投标审查程序：</w:t>
      </w:r>
      <w:r>
        <w:rPr>
          <w:rFonts w:hint="eastAsia" w:ascii="Times New Roman" w:hAnsi="Times New Roman" w:cs="Times New Roman"/>
          <w:color w:val="0000FF"/>
          <w:sz w:val="24"/>
          <w:highlight w:val="none"/>
          <w:lang w:val="en-US" w:eastAsia="zh-CN"/>
        </w:rPr>
        <w:br w:type="textWrapping"/>
      </w:r>
      <w:r>
        <w:rPr>
          <w:rFonts w:hint="eastAsia" w:ascii="Times New Roman" w:hAnsi="Times New Roman" w:cs="Times New Roman"/>
          <w:color w:val="0000FF"/>
          <w:sz w:val="24"/>
          <w:highlight w:val="none"/>
          <w:lang w:val="en-US" w:eastAsia="zh-CN"/>
        </w:rPr>
        <w:t>（1）投标报价低于采购项目预算50%的，即投标报价&lt;采购项目预算×50% ；</w:t>
      </w:r>
      <w:r>
        <w:rPr>
          <w:rFonts w:hint="eastAsia" w:ascii="Times New Roman" w:hAnsi="Times New Roman" w:cs="Times New Roman"/>
          <w:color w:val="0000FF"/>
          <w:sz w:val="24"/>
          <w:highlight w:val="none"/>
          <w:lang w:val="en-US" w:eastAsia="zh-CN"/>
        </w:rPr>
        <w:br w:type="textWrapping"/>
      </w:r>
      <w:r>
        <w:rPr>
          <w:rFonts w:hint="eastAsia" w:ascii="Times New Roman" w:hAnsi="Times New Roman" w:cs="Times New Roman"/>
          <w:color w:val="0000FF"/>
          <w:sz w:val="24"/>
          <w:highlight w:val="none"/>
          <w:lang w:val="en-US" w:eastAsia="zh-CN"/>
        </w:rPr>
        <w:t>（2）投标报价低于采购项目最高限价45%的，即投标报价&lt;采购项目最高限价×45% ；</w:t>
      </w:r>
      <w:r>
        <w:rPr>
          <w:rFonts w:hint="eastAsia" w:ascii="Times New Roman" w:hAnsi="Times New Roman" w:cs="Times New Roman"/>
          <w:color w:val="0000FF"/>
          <w:sz w:val="24"/>
          <w:highlight w:val="none"/>
          <w:lang w:val="en-US" w:eastAsia="zh-CN"/>
        </w:rPr>
        <w:br w:type="textWrapping"/>
      </w:r>
      <w:r>
        <w:rPr>
          <w:rFonts w:hint="eastAsia" w:ascii="Times New Roman" w:hAnsi="Times New Roman" w:cs="Times New Roman"/>
          <w:color w:val="0000FF"/>
          <w:sz w:val="24"/>
          <w:highlight w:val="none"/>
          <w:lang w:val="en-US" w:eastAsia="zh-CN"/>
        </w:rPr>
        <w:t>（3）评标委员会认定的供应商报价过低、有可能影响产品质量或者不能诚信履约的其他情形。</w:t>
      </w:r>
      <w:r>
        <w:rPr>
          <w:rFonts w:hint="eastAsia" w:ascii="Times New Roman" w:hAnsi="Times New Roman" w:cs="Times New Roman"/>
          <w:color w:val="0000FF"/>
          <w:sz w:val="24"/>
          <w:highlight w:val="none"/>
          <w:lang w:val="en-US" w:eastAsia="zh-CN"/>
        </w:rPr>
        <w:br w:type="textWrapping"/>
      </w:r>
      <w:r>
        <w:rPr>
          <w:rFonts w:hint="eastAsia" w:ascii="Times New Roman" w:hAnsi="Times New Roman" w:cs="Times New Roman"/>
          <w:color w:val="000000" w:themeColor="text1"/>
          <w:sz w:val="24"/>
          <w:highlight w:val="none"/>
          <w:lang w:val="en-US" w:eastAsia="zh-CN"/>
          <w14:textFill>
            <w14:solidFill>
              <w14:schemeClr w14:val="tx1"/>
            </w14:solidFill>
          </w14:textFill>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文件处理。审查相关情况应当在评审报告中进行记录。</w:t>
      </w:r>
    </w:p>
    <w:p w14:paraId="681F18FF">
      <w:pPr>
        <w:numPr>
          <w:ilvl w:val="0"/>
          <w:numId w:val="12"/>
        </w:numPr>
        <w:tabs>
          <w:tab w:val="left" w:pos="360"/>
        </w:tabs>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确定</w:t>
      </w:r>
      <w:bookmarkStart w:id="637" w:name="_Toc164608815"/>
      <w:bookmarkStart w:id="638" w:name="_Toc226309790"/>
      <w:bookmarkStart w:id="639" w:name="_Toc150774646"/>
      <w:bookmarkStart w:id="640" w:name="_Toc127161460"/>
      <w:bookmarkStart w:id="641" w:name="_Toc150774751"/>
      <w:bookmarkStart w:id="642" w:name="_Toc142311048"/>
      <w:bookmarkStart w:id="643" w:name="_Toc164229241"/>
      <w:bookmarkStart w:id="644" w:name="_Toc164351640"/>
      <w:bookmarkStart w:id="645" w:name="_Toc151193934"/>
      <w:bookmarkStart w:id="646" w:name="_Toc520356170"/>
      <w:bookmarkStart w:id="647" w:name="_Toc151193860"/>
      <w:bookmarkStart w:id="648" w:name="_Toc226965819"/>
      <w:bookmarkStart w:id="649" w:name="_Toc151190173"/>
      <w:bookmarkStart w:id="650" w:name="_Toc265228384"/>
      <w:bookmarkStart w:id="651" w:name="_Toc264969236"/>
      <w:bookmarkStart w:id="652" w:name="_Toc127151747"/>
      <w:bookmarkStart w:id="653" w:name="_Toc149720839"/>
      <w:bookmarkStart w:id="654" w:name="_Toc151193788"/>
      <w:bookmarkStart w:id="655" w:name="_Toc164608660"/>
      <w:bookmarkStart w:id="656" w:name="_Toc226337242"/>
      <w:bookmarkStart w:id="657" w:name="_Toc151193716"/>
      <w:bookmarkStart w:id="658" w:name="_Toc150509297"/>
      <w:bookmarkStart w:id="659" w:name="_Toc305158888"/>
      <w:bookmarkStart w:id="660" w:name="_Toc150480784"/>
      <w:bookmarkStart w:id="661" w:name="_Toc127151546"/>
      <w:bookmarkStart w:id="662" w:name="_Toc164229387"/>
      <w:bookmarkStart w:id="663" w:name="_Toc305158814"/>
      <w:bookmarkStart w:id="664" w:name="_Toc151193644"/>
      <w:bookmarkStart w:id="665" w:name="_Ref467307010"/>
      <w:bookmarkStart w:id="666" w:name="_Toc195842911"/>
      <w:bookmarkStart w:id="667" w:name="_Toc226965736"/>
      <w:r>
        <w:rPr>
          <w:color w:val="000000" w:themeColor="text1"/>
          <w:sz w:val="24"/>
          <w:highlight w:val="none"/>
          <w14:textFill>
            <w14:solidFill>
              <w14:schemeClr w14:val="tx1"/>
            </w14:solidFill>
          </w14:textFill>
        </w:rPr>
        <w:t>成交候选人名单</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p w14:paraId="0045BC4F">
      <w:pPr>
        <w:numPr>
          <w:ilvl w:val="1"/>
          <w:numId w:val="12"/>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6E512A30">
      <w:pPr>
        <w:numPr>
          <w:ilvl w:val="1"/>
          <w:numId w:val="12"/>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磋商小组根据上述供应商排序，依次推荐排序前</w:t>
      </w:r>
      <w:r>
        <w:rPr>
          <w:rFonts w:hint="eastAsia"/>
          <w:color w:val="000000" w:themeColor="text1"/>
          <w:sz w:val="24"/>
          <w:highlight w:val="none"/>
          <w14:textFill>
            <w14:solidFill>
              <w14:schemeClr w14:val="tx1"/>
            </w14:solidFill>
          </w14:textFill>
        </w:rPr>
        <w:t>3</w:t>
      </w:r>
      <w:r>
        <w:rPr>
          <w:color w:val="000000" w:themeColor="text1"/>
          <w:sz w:val="24"/>
          <w:highlight w:val="none"/>
          <w14:textFill>
            <w14:solidFill>
              <w14:schemeClr w14:val="tx1"/>
            </w14:solidFill>
          </w14:textFill>
        </w:rPr>
        <w:t>名</w:t>
      </w:r>
      <w:r>
        <w:rPr>
          <w:color w:val="000000" w:themeColor="text1"/>
          <w:sz w:val="24"/>
          <w:szCs w:val="20"/>
          <w:highlight w:val="none"/>
          <w14:textFill>
            <w14:solidFill>
              <w14:schemeClr w14:val="tx1"/>
            </w14:solidFill>
          </w14:textFill>
        </w:rPr>
        <w:t>的供应商为</w:t>
      </w:r>
      <w:r>
        <w:rPr>
          <w:color w:val="000000" w:themeColor="text1"/>
          <w:sz w:val="24"/>
          <w:szCs w:val="21"/>
          <w:highlight w:val="none"/>
          <w14:textFill>
            <w14:solidFill>
              <w14:schemeClr w14:val="tx1"/>
            </w14:solidFill>
          </w14:textFill>
        </w:rPr>
        <w:t>成交候选供应商</w:t>
      </w:r>
      <w:r>
        <w:rPr>
          <w:color w:val="000000" w:themeColor="text1"/>
          <w:sz w:val="24"/>
          <w:szCs w:val="20"/>
          <w:highlight w:val="none"/>
          <w14:textFill>
            <w14:solidFill>
              <w14:schemeClr w14:val="tx1"/>
            </w14:solidFill>
          </w14:textFill>
        </w:rPr>
        <w:t>（若在磋商文件允许的情形下提交最终报价的供应商</w:t>
      </w:r>
      <w:r>
        <w:rPr>
          <w:rFonts w:hint="eastAsia"/>
          <w:color w:val="000000" w:themeColor="text1"/>
          <w:sz w:val="24"/>
          <w:szCs w:val="20"/>
          <w:highlight w:val="none"/>
          <w:lang w:eastAsia="zh-CN"/>
          <w14:textFill>
            <w14:solidFill>
              <w14:schemeClr w14:val="tx1"/>
            </w14:solidFill>
          </w14:textFill>
        </w:rPr>
        <w:t>为两家</w:t>
      </w:r>
      <w:r>
        <w:rPr>
          <w:color w:val="000000" w:themeColor="text1"/>
          <w:sz w:val="24"/>
          <w:szCs w:val="20"/>
          <w:highlight w:val="none"/>
          <w14:textFill>
            <w14:solidFill>
              <w14:schemeClr w14:val="tx1"/>
            </w14:solidFill>
          </w14:textFill>
        </w:rPr>
        <w:t>，则依次推荐二名供应商为成交候选供应商），并编写评审报告。</w:t>
      </w:r>
    </w:p>
    <w:p w14:paraId="79267413">
      <w:pPr>
        <w:numPr>
          <w:ilvl w:val="1"/>
          <w:numId w:val="12"/>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磋商小组要对评分汇总情况进行复核，特别是对排名第一的、报价最低的、响应文件被认定为无效的情形进行重点复核。</w:t>
      </w:r>
    </w:p>
    <w:p w14:paraId="3F10566E">
      <w:pPr>
        <w:numPr>
          <w:ilvl w:val="0"/>
          <w:numId w:val="12"/>
        </w:numPr>
        <w:tabs>
          <w:tab w:val="left" w:pos="360"/>
        </w:tabs>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报告违法行为</w:t>
      </w:r>
    </w:p>
    <w:p w14:paraId="2C956854">
      <w:pPr>
        <w:keepNext w:val="0"/>
        <w:keepLines w:val="0"/>
        <w:pageBreakBefore w:val="0"/>
        <w:widowControl/>
        <w:numPr>
          <w:ilvl w:val="1"/>
          <w:numId w:val="12"/>
        </w:numPr>
        <w:tabs>
          <w:tab w:val="left" w:pos="1080"/>
          <w:tab w:val="left" w:pos="1872"/>
        </w:tabs>
        <w:spacing w:line="360" w:lineRule="auto"/>
        <w:ind w:left="0" w:firstLine="480"/>
        <w:jc w:val="left"/>
        <w:rPr>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磋商小组在评审过程中发现供应商有行贿、提供虚假材料或者串通等违法行为时，有向采购人、采购代理机构或者有关部门报告的职责。</w:t>
      </w:r>
      <w:r>
        <w:rPr>
          <w:b/>
          <w:color w:val="000000" w:themeColor="text1"/>
          <w:sz w:val="24"/>
          <w:highlight w:val="none"/>
          <w14:textFill>
            <w14:solidFill>
              <w14:schemeClr w14:val="tx1"/>
            </w14:solidFill>
          </w14:textFill>
        </w:rPr>
        <w:br w:type="page" w:clear="all"/>
      </w:r>
      <w:r>
        <w:rPr>
          <w:rFonts w:hint="eastAsia"/>
          <w:b/>
          <w:color w:val="000000" w:themeColor="text1"/>
          <w:sz w:val="24"/>
          <w:highlight w:val="none"/>
          <w:lang w:val="en-US" w:eastAsia="zh-CN"/>
          <w14:textFill>
            <w14:solidFill>
              <w14:schemeClr w14:val="tx1"/>
            </w14:solidFill>
          </w14:textFill>
        </w:rPr>
        <w:t xml:space="preserve">                                    </w:t>
      </w:r>
      <w:r>
        <w:rPr>
          <w:b/>
          <w:color w:val="000000" w:themeColor="text1"/>
          <w:sz w:val="24"/>
          <w:highlight w:val="none"/>
          <w14:textFill>
            <w14:solidFill>
              <w14:schemeClr w14:val="tx1"/>
            </w14:solidFill>
          </w14:textFill>
        </w:rPr>
        <w:t>二、评</w:t>
      </w:r>
      <w:r>
        <w:rPr>
          <w:rFonts w:hint="eastAsia"/>
          <w:b/>
          <w:color w:val="000000" w:themeColor="text1"/>
          <w:sz w:val="24"/>
          <w:highlight w:val="none"/>
          <w14:textFill>
            <w14:solidFill>
              <w14:schemeClr w14:val="tx1"/>
            </w14:solidFill>
          </w14:textFill>
        </w:rPr>
        <w:t>审</w:t>
      </w:r>
      <w:r>
        <w:rPr>
          <w:b/>
          <w:color w:val="000000" w:themeColor="text1"/>
          <w:sz w:val="24"/>
          <w:highlight w:val="none"/>
          <w14:textFill>
            <w14:solidFill>
              <w14:schemeClr w14:val="tx1"/>
            </w14:solidFill>
          </w14:textFill>
        </w:rPr>
        <w:t>标准</w:t>
      </w:r>
    </w:p>
    <w:tbl>
      <w:tblPr>
        <w:tblStyle w:val="30"/>
        <w:tblW w:w="108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5"/>
        <w:gridCol w:w="1698"/>
        <w:gridCol w:w="823"/>
        <w:gridCol w:w="6593"/>
        <w:gridCol w:w="957"/>
      </w:tblGrid>
      <w:tr w14:paraId="51A1BC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785" w:type="dxa"/>
            <w:noWrap w:val="0"/>
            <w:vAlign w:val="center"/>
          </w:tcPr>
          <w:p w14:paraId="141E4A65">
            <w:pPr>
              <w:keepNext w:val="0"/>
              <w:keepLines w:val="0"/>
              <w:pageBreakBefore w:val="0"/>
              <w:spacing w:line="240" w:lineRule="auto"/>
              <w:ind w:left="0" w:firstLine="28"/>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t>序号</w:t>
            </w:r>
          </w:p>
        </w:tc>
        <w:tc>
          <w:tcPr>
            <w:tcW w:w="1698" w:type="dxa"/>
            <w:noWrap w:val="0"/>
            <w:vAlign w:val="center"/>
          </w:tcPr>
          <w:p w14:paraId="4F513265">
            <w:pPr>
              <w:keepNext w:val="0"/>
              <w:keepLines w:val="0"/>
              <w:pageBreakBefore w:val="0"/>
              <w:spacing w:line="240" w:lineRule="auto"/>
              <w:ind w:left="0" w:firstLine="28"/>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t>评分因素</w:t>
            </w:r>
          </w:p>
        </w:tc>
        <w:tc>
          <w:tcPr>
            <w:tcW w:w="823" w:type="dxa"/>
            <w:noWrap w:val="0"/>
            <w:vAlign w:val="center"/>
          </w:tcPr>
          <w:p w14:paraId="7E6ED491">
            <w:pPr>
              <w:keepNext w:val="0"/>
              <w:keepLines w:val="0"/>
              <w:pageBreakBefore w:val="0"/>
              <w:spacing w:line="240" w:lineRule="auto"/>
              <w:ind w:left="0" w:firstLine="28"/>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t>分值</w:t>
            </w:r>
          </w:p>
        </w:tc>
        <w:tc>
          <w:tcPr>
            <w:tcW w:w="6593" w:type="dxa"/>
            <w:noWrap w:val="0"/>
            <w:vAlign w:val="center"/>
          </w:tcPr>
          <w:p w14:paraId="172F673A">
            <w:pPr>
              <w:keepNext w:val="0"/>
              <w:keepLines w:val="0"/>
              <w:pageBreakBefore w:val="0"/>
              <w:spacing w:line="240" w:lineRule="auto"/>
              <w:ind w:left="0" w:firstLine="28"/>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t>评分标准</w:t>
            </w:r>
          </w:p>
        </w:tc>
        <w:tc>
          <w:tcPr>
            <w:tcW w:w="957" w:type="dxa"/>
            <w:noWrap w:val="0"/>
            <w:vAlign w:val="center"/>
          </w:tcPr>
          <w:p w14:paraId="7011DB1B">
            <w:pPr>
              <w:pStyle w:val="460"/>
              <w:keepNext w:val="0"/>
              <w:keepLines w:val="0"/>
              <w:pageBreakBefore w:val="0"/>
              <w:widowControl w:val="0"/>
              <w:spacing w:before="0" w:beforeAutospacing="0" w:after="0" w:afterAutospacing="0" w:line="240" w:lineRule="auto"/>
              <w:ind w:lef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t>说明</w:t>
            </w:r>
          </w:p>
        </w:tc>
      </w:tr>
      <w:tr w14:paraId="52483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5" w:type="dxa"/>
            <w:noWrap w:val="0"/>
            <w:vAlign w:val="center"/>
          </w:tcPr>
          <w:p w14:paraId="797DD628">
            <w:pPr>
              <w:keepNext w:val="0"/>
              <w:keepLines w:val="0"/>
              <w:pageBreakBefore w:val="0"/>
              <w:spacing w:line="240" w:lineRule="auto"/>
              <w:ind w:left="0" w:firstLine="28"/>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t>1</w:t>
            </w:r>
          </w:p>
        </w:tc>
        <w:tc>
          <w:tcPr>
            <w:tcW w:w="1698" w:type="dxa"/>
            <w:noWrap w:val="0"/>
            <w:vAlign w:val="center"/>
          </w:tcPr>
          <w:p w14:paraId="085B9265">
            <w:pPr>
              <w:keepNext w:val="0"/>
              <w:keepLines w:val="0"/>
              <w:pageBreakBefore w:val="0"/>
              <w:spacing w:line="240" w:lineRule="auto"/>
              <w:ind w:left="0" w:firstLine="28"/>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t>价格分</w:t>
            </w:r>
          </w:p>
        </w:tc>
        <w:tc>
          <w:tcPr>
            <w:tcW w:w="823" w:type="dxa"/>
            <w:noWrap w:val="0"/>
            <w:vAlign w:val="center"/>
          </w:tcPr>
          <w:p w14:paraId="5C8B360E">
            <w:pPr>
              <w:keepNext w:val="0"/>
              <w:keepLines w:val="0"/>
              <w:pageBreakBefore w:val="0"/>
              <w:spacing w:line="240" w:lineRule="auto"/>
              <w:ind w:left="0" w:firstLine="28"/>
              <w:jc w:val="center"/>
              <w:rPr>
                <w:rFonts w:hint="default" w:ascii="宋体" w:hAnsi="宋体" w:eastAsia="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eastAsia="zh-CN" w:bidi="ar"/>
                <w14:textFill>
                  <w14:solidFill>
                    <w14:schemeClr w14:val="tx1"/>
                  </w14:solidFill>
                </w14:textFill>
              </w:rPr>
              <w:t>15</w:t>
            </w:r>
          </w:p>
        </w:tc>
        <w:tc>
          <w:tcPr>
            <w:tcW w:w="6593" w:type="dxa"/>
            <w:noWrap w:val="0"/>
            <w:vAlign w:val="center"/>
          </w:tcPr>
          <w:p w14:paraId="72D14FEC">
            <w:pPr>
              <w:keepNext w:val="0"/>
              <w:keepLines w:val="0"/>
              <w:pageBreakBefore w:val="0"/>
              <w:tabs>
                <w:tab w:val="left" w:pos="426"/>
              </w:tabs>
              <w:spacing w:line="400" w:lineRule="exact"/>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采用低价优先法计算，即满足磋商文件要求且最终报价最低的为磋商基准价，其价格分为满分。其他响应人的价格分统一按照下列公式计算（小数点保留两位）：</w:t>
            </w:r>
          </w:p>
          <w:p w14:paraId="13F69509">
            <w:pPr>
              <w:keepNext w:val="0"/>
              <w:keepLines w:val="0"/>
              <w:pageBreakBefore w:val="0"/>
              <w:tabs>
                <w:tab w:val="left" w:pos="426"/>
              </w:tabs>
              <w:spacing w:line="400" w:lineRule="exact"/>
              <w:jc w:val="both"/>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auto"/>
                <w:sz w:val="24"/>
                <w:szCs w:val="24"/>
                <w:highlight w:val="none"/>
                <w:lang w:val="en-US" w:eastAsia="zh-CN"/>
              </w:rPr>
              <w:t>磋商报价得分=(磋商基准价／最终报价)×分值。</w:t>
            </w:r>
          </w:p>
        </w:tc>
        <w:tc>
          <w:tcPr>
            <w:tcW w:w="957" w:type="dxa"/>
            <w:noWrap w:val="0"/>
            <w:vAlign w:val="center"/>
          </w:tcPr>
          <w:p w14:paraId="7A12D4EF">
            <w:pPr>
              <w:keepNext w:val="0"/>
              <w:keepLines w:val="0"/>
              <w:pageBreakBefore w:val="0"/>
              <w:spacing w:line="240" w:lineRule="auto"/>
              <w:ind w:lef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4B5CB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7" w:hRule="atLeast"/>
          <w:jc w:val="center"/>
        </w:trPr>
        <w:tc>
          <w:tcPr>
            <w:tcW w:w="785" w:type="dxa"/>
            <w:noWrap w:val="0"/>
            <w:vAlign w:val="center"/>
          </w:tcPr>
          <w:p w14:paraId="1D44CBD8">
            <w:pPr>
              <w:keepNext w:val="0"/>
              <w:keepLines w:val="0"/>
              <w:pageBreakBefore w:val="0"/>
              <w:spacing w:line="240" w:lineRule="auto"/>
              <w:ind w:left="0" w:firstLine="28"/>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t>2</w:t>
            </w:r>
          </w:p>
        </w:tc>
        <w:tc>
          <w:tcPr>
            <w:tcW w:w="1698" w:type="dxa"/>
            <w:noWrap w:val="0"/>
            <w:vAlign w:val="center"/>
          </w:tcPr>
          <w:p w14:paraId="1E8D0DE0">
            <w:pPr>
              <w:keepNext w:val="0"/>
              <w:keepLines w:val="0"/>
              <w:pageBreakBefore w:val="0"/>
              <w:spacing w:line="240" w:lineRule="auto"/>
              <w:ind w:left="0" w:firstLine="28"/>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eastAsia="zh-CN" w:bidi="ar"/>
                <w14:textFill>
                  <w14:solidFill>
                    <w14:schemeClr w14:val="tx1"/>
                  </w14:solidFill>
                </w14:textFill>
              </w:rPr>
              <w:t>主观分</w:t>
            </w:r>
          </w:p>
        </w:tc>
        <w:tc>
          <w:tcPr>
            <w:tcW w:w="823" w:type="dxa"/>
            <w:noWrap w:val="0"/>
            <w:vAlign w:val="center"/>
          </w:tcPr>
          <w:p w14:paraId="5347860A">
            <w:pPr>
              <w:keepNext w:val="0"/>
              <w:keepLines w:val="0"/>
              <w:pageBreakBefore w:val="0"/>
              <w:spacing w:line="240" w:lineRule="auto"/>
              <w:ind w:left="0" w:firstLine="28"/>
              <w:jc w:val="center"/>
              <w:rPr>
                <w:rFonts w:hint="default" w:ascii="宋体" w:hAnsi="宋体" w:eastAsia="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45</w:t>
            </w:r>
          </w:p>
        </w:tc>
        <w:tc>
          <w:tcPr>
            <w:tcW w:w="6593" w:type="dxa"/>
            <w:noWrap w:val="0"/>
            <w:vAlign w:val="center"/>
          </w:tcPr>
          <w:p w14:paraId="56FB5420">
            <w:pPr>
              <w:pStyle w:val="460"/>
              <w:keepNext w:val="0"/>
              <w:keepLines w:val="0"/>
              <w:pageBreakBefore w:val="0"/>
              <w:widowControl w:val="0"/>
              <w:spacing w:before="0" w:beforeAutospacing="0" w:after="0" w:afterAutospacing="0" w:line="240" w:lineRule="auto"/>
              <w:ind w:left="0" w:firstLine="570"/>
              <w:jc w:val="both"/>
              <w:rPr>
                <w:rFonts w:hint="eastAsia" w:ascii="宋体" w:hAnsi="宋体" w:eastAsia="宋体" w:cs="宋体"/>
                <w:color w:val="000000" w:themeColor="text1"/>
                <w:sz w:val="21"/>
                <w:szCs w:val="21"/>
                <w:highlight w:val="none"/>
                <w14:textFill>
                  <w14:solidFill>
                    <w14:schemeClr w14:val="tx1"/>
                  </w14:solidFill>
                </w14:textFill>
              </w:rPr>
            </w:pPr>
          </w:p>
        </w:tc>
        <w:tc>
          <w:tcPr>
            <w:tcW w:w="957" w:type="dxa"/>
            <w:noWrap w:val="0"/>
            <w:vAlign w:val="center"/>
          </w:tcPr>
          <w:p w14:paraId="1783DC59">
            <w:pPr>
              <w:keepNext w:val="0"/>
              <w:keepLines w:val="0"/>
              <w:pageBreakBefore w:val="0"/>
              <w:spacing w:line="240" w:lineRule="auto"/>
              <w:ind w:lef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5975E2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0" w:hRule="atLeast"/>
          <w:jc w:val="center"/>
        </w:trPr>
        <w:tc>
          <w:tcPr>
            <w:tcW w:w="785" w:type="dxa"/>
            <w:noWrap w:val="0"/>
            <w:vAlign w:val="center"/>
          </w:tcPr>
          <w:p w14:paraId="079F0ADE">
            <w:pPr>
              <w:keepNext w:val="0"/>
              <w:keepLines w:val="0"/>
              <w:pageBreakBefore w:val="0"/>
              <w:tabs>
                <w:tab w:val="left" w:pos="426"/>
              </w:tabs>
              <w:spacing w:line="400" w:lineRule="exact"/>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w:t>
            </w:r>
          </w:p>
        </w:tc>
        <w:tc>
          <w:tcPr>
            <w:tcW w:w="1698" w:type="dxa"/>
            <w:noWrap w:val="0"/>
            <w:vAlign w:val="center"/>
          </w:tcPr>
          <w:p w14:paraId="1BF36806">
            <w:pPr>
              <w:spacing w:line="360" w:lineRule="auto"/>
              <w:jc w:val="center"/>
              <w:rPr>
                <w:rFonts w:hint="eastAsia" w:ascii="宋体" w:hAnsi="宋体" w:eastAsia="宋体" w:cs="宋体"/>
                <w:color w:val="auto"/>
                <w:sz w:val="24"/>
                <w:szCs w:val="24"/>
                <w:highlight w:val="none"/>
                <w:lang w:val="en-US" w:eastAsia="zh-CN"/>
              </w:rPr>
            </w:pPr>
            <w:r>
              <w:rPr>
                <w:rFonts w:hint="eastAsia"/>
                <w:highlight w:val="none"/>
                <w:vertAlign w:val="baseline"/>
                <w:lang w:val="en-US" w:eastAsia="zh-CN"/>
              </w:rPr>
              <w:t>日常养护方案</w:t>
            </w:r>
          </w:p>
        </w:tc>
        <w:tc>
          <w:tcPr>
            <w:tcW w:w="823" w:type="dxa"/>
            <w:noWrap w:val="0"/>
            <w:vAlign w:val="center"/>
          </w:tcPr>
          <w:p w14:paraId="0043F71F">
            <w:pPr>
              <w:spacing w:line="360" w:lineRule="auto"/>
              <w:jc w:val="center"/>
              <w:rPr>
                <w:rFonts w:hint="eastAsia" w:ascii="宋体" w:hAnsi="宋体" w:eastAsia="宋体" w:cs="宋体"/>
                <w:color w:val="auto"/>
                <w:sz w:val="24"/>
                <w:szCs w:val="24"/>
                <w:highlight w:val="none"/>
                <w:lang w:val="en-US" w:eastAsia="zh-CN"/>
              </w:rPr>
            </w:pPr>
            <w:r>
              <w:rPr>
                <w:rFonts w:hint="eastAsia"/>
                <w:highlight w:val="none"/>
                <w:vertAlign w:val="baseline"/>
                <w:lang w:val="en-US" w:eastAsia="zh-CN"/>
              </w:rPr>
              <w:t>6</w:t>
            </w:r>
          </w:p>
        </w:tc>
        <w:tc>
          <w:tcPr>
            <w:tcW w:w="6593" w:type="dxa"/>
            <w:noWrap w:val="0"/>
            <w:vAlign w:val="top"/>
          </w:tcPr>
          <w:p w14:paraId="62BDE5EF">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(一)评分内容 :投标人提供的</w:t>
            </w:r>
            <w:r>
              <w:rPr>
                <w:rFonts w:hint="eastAsia" w:ascii="Times New Roman" w:eastAsia="宋体"/>
                <w:highlight w:val="none"/>
                <w:vertAlign w:val="baseline"/>
                <w:lang w:val="en-US" w:eastAsia="zh-CN"/>
              </w:rPr>
              <w:t>日常养护方案</w:t>
            </w:r>
            <w:r>
              <w:rPr>
                <w:rFonts w:hint="eastAsia" w:ascii="宋体" w:hAnsi="宋体" w:eastAsia="宋体" w:cs="宋体"/>
                <w:sz w:val="21"/>
                <w:szCs w:val="21"/>
                <w:highlight w:val="none"/>
              </w:rPr>
              <w:t>包含</w:t>
            </w:r>
            <w:r>
              <w:rPr>
                <w:rFonts w:hint="eastAsia" w:ascii="宋体" w:hAnsi="宋体" w:eastAsia="宋体" w:cs="宋体"/>
                <w:sz w:val="21"/>
                <w:szCs w:val="21"/>
                <w:highlight w:val="none"/>
                <w:lang w:val="en-US" w:eastAsia="zh-CN"/>
              </w:rPr>
              <w:t>但不限于</w:t>
            </w:r>
            <w:r>
              <w:rPr>
                <w:rFonts w:hint="eastAsia" w:ascii="宋体" w:hAnsi="宋体" w:eastAsia="宋体" w:cs="宋体"/>
                <w:sz w:val="21"/>
                <w:szCs w:val="21"/>
                <w:highlight w:val="none"/>
              </w:rPr>
              <w:t xml:space="preserve">以下内容: </w:t>
            </w:r>
          </w:p>
          <w:p w14:paraId="56EF734C">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color w:val="auto"/>
                <w:sz w:val="21"/>
                <w:szCs w:val="21"/>
                <w:highlight w:val="none"/>
              </w:rPr>
              <w:t>日常养护方案</w:t>
            </w:r>
            <w:r>
              <w:rPr>
                <w:rFonts w:hint="eastAsia" w:ascii="宋体" w:hAnsi="宋体" w:eastAsia="宋体" w:cs="宋体"/>
                <w:color w:val="auto"/>
                <w:sz w:val="21"/>
                <w:szCs w:val="21"/>
                <w:highlight w:val="none"/>
                <w:lang w:eastAsia="zh-CN"/>
              </w:rPr>
              <w:t>的合理性</w:t>
            </w:r>
            <w:r>
              <w:rPr>
                <w:rFonts w:hint="eastAsia" w:ascii="宋体" w:hAnsi="宋体" w:eastAsia="宋体" w:cs="宋体"/>
                <w:sz w:val="21"/>
                <w:szCs w:val="21"/>
                <w:highlight w:val="none"/>
              </w:rPr>
              <w:t xml:space="preserve">; </w:t>
            </w:r>
          </w:p>
          <w:p w14:paraId="695929CD">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color w:val="auto"/>
                <w:sz w:val="21"/>
                <w:szCs w:val="21"/>
                <w:highlight w:val="none"/>
              </w:rPr>
              <w:t>日常养护方案</w:t>
            </w:r>
            <w:r>
              <w:rPr>
                <w:rFonts w:hint="eastAsia" w:ascii="宋体" w:hAnsi="宋体" w:eastAsia="宋体" w:cs="宋体"/>
                <w:color w:val="auto"/>
                <w:sz w:val="21"/>
                <w:szCs w:val="21"/>
                <w:highlight w:val="none"/>
                <w:lang w:eastAsia="zh-CN"/>
              </w:rPr>
              <w:t>的可操作性</w:t>
            </w:r>
            <w:r>
              <w:rPr>
                <w:rFonts w:hint="eastAsia" w:ascii="宋体" w:hAnsi="宋体" w:eastAsia="宋体" w:cs="宋体"/>
                <w:sz w:val="21"/>
                <w:szCs w:val="21"/>
                <w:highlight w:val="none"/>
              </w:rPr>
              <w:t xml:space="preserve">; </w:t>
            </w:r>
          </w:p>
          <w:p w14:paraId="1F1F6894">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（3）项目管理措施。</w:t>
            </w:r>
          </w:p>
          <w:p w14:paraId="3DCE7516">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(二)评审依据:</w:t>
            </w:r>
          </w:p>
          <w:p w14:paraId="2E52F3BE">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1.</w:t>
            </w:r>
            <w:r>
              <w:rPr>
                <w:rFonts w:hint="eastAsia" w:ascii="宋体" w:hAnsi="宋体" w:eastAsia="宋体" w:cs="宋体"/>
                <w:sz w:val="21"/>
                <w:szCs w:val="21"/>
                <w:highlight w:val="none"/>
                <w:lang w:val="en-US" w:eastAsia="zh-CN"/>
              </w:rPr>
              <w:t>考察以上内容，每满足任意一项内容得</w:t>
            </w:r>
            <w:r>
              <w:rPr>
                <w:rFonts w:hint="eastAsia" w:ascii="宋体" w:hAnsi="宋体" w:cs="宋体"/>
                <w:sz w:val="21"/>
                <w:szCs w:val="21"/>
                <w:highlight w:val="none"/>
                <w:lang w:val="en-US" w:eastAsia="zh-CN"/>
              </w:rPr>
              <w:t>20</w:t>
            </w:r>
            <w:r>
              <w:rPr>
                <w:rFonts w:hint="eastAsia" w:ascii="宋体" w:hAnsi="宋体" w:eastAsia="宋体" w:cs="宋体"/>
                <w:sz w:val="21"/>
                <w:szCs w:val="21"/>
                <w:highlight w:val="none"/>
                <w:lang w:val="en-US" w:eastAsia="zh-CN"/>
              </w:rPr>
              <w:t>%，最高得</w:t>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lang w:val="en-US" w:eastAsia="zh-CN"/>
              </w:rPr>
              <w:t>0%。</w:t>
            </w:r>
          </w:p>
          <w:p w14:paraId="794D5574">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2.在此基础上,专家根据各投标人的具体响应内容按照量化的评审因素指标进一步评审。</w:t>
            </w:r>
          </w:p>
          <w:p w14:paraId="45FAF720">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方案</w:t>
            </w:r>
            <w:r>
              <w:rPr>
                <w:rFonts w:hint="eastAsia" w:ascii="宋体" w:hAnsi="宋体" w:eastAsia="宋体" w:cs="宋体"/>
                <w:sz w:val="21"/>
                <w:szCs w:val="21"/>
                <w:highlight w:val="none"/>
              </w:rPr>
              <w:t>整体科学合理、针对性强、可操作性强，评审为优加</w:t>
            </w: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rPr>
              <w:t>0%；</w:t>
            </w:r>
          </w:p>
          <w:p w14:paraId="3A2D9447">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方案</w:t>
            </w:r>
            <w:r>
              <w:rPr>
                <w:rFonts w:hint="eastAsia" w:ascii="宋体" w:hAnsi="宋体" w:eastAsia="宋体" w:cs="宋体"/>
                <w:sz w:val="21"/>
                <w:szCs w:val="21"/>
                <w:highlight w:val="none"/>
              </w:rPr>
              <w:t>较合理、有一定针对性、一定可操作性，评审为良加</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0%；</w:t>
            </w:r>
          </w:p>
          <w:p w14:paraId="0B773471">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lang w:val="en-US" w:eastAsia="zh-CN"/>
              </w:rPr>
              <w:t>方案</w:t>
            </w:r>
            <w:r>
              <w:rPr>
                <w:rFonts w:hint="eastAsia" w:ascii="宋体" w:hAnsi="宋体" w:eastAsia="宋体" w:cs="宋体"/>
                <w:sz w:val="21"/>
                <w:szCs w:val="21"/>
                <w:highlight w:val="none"/>
              </w:rPr>
              <w:t xml:space="preserve">不尽合理、针对性一般、可操作性一般，评审为中加 5%； </w:t>
            </w:r>
          </w:p>
          <w:p w14:paraId="67311352">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1"/>
                <w:szCs w:val="21"/>
                <w:highlight w:val="none"/>
              </w:rPr>
              <w:t>（4）</w:t>
            </w:r>
            <w:r>
              <w:rPr>
                <w:rFonts w:hint="eastAsia" w:ascii="宋体" w:hAnsi="宋体" w:eastAsia="宋体" w:cs="宋体"/>
                <w:sz w:val="21"/>
                <w:szCs w:val="21"/>
                <w:highlight w:val="none"/>
                <w:lang w:val="en-US" w:eastAsia="zh-CN"/>
              </w:rPr>
              <w:t>方案</w:t>
            </w:r>
            <w:r>
              <w:rPr>
                <w:rFonts w:hint="eastAsia" w:ascii="宋体" w:hAnsi="宋体" w:eastAsia="宋体" w:cs="宋体"/>
                <w:sz w:val="21"/>
                <w:szCs w:val="21"/>
                <w:highlight w:val="none"/>
              </w:rPr>
              <w:t>不合理、无针对性、无可操作性，评审为差的，不加分。</w:t>
            </w:r>
          </w:p>
        </w:tc>
        <w:tc>
          <w:tcPr>
            <w:tcW w:w="957" w:type="dxa"/>
            <w:noWrap w:val="0"/>
            <w:vAlign w:val="center"/>
          </w:tcPr>
          <w:p w14:paraId="6E16D69D">
            <w:pPr>
              <w:keepNext w:val="0"/>
              <w:keepLines w:val="0"/>
              <w:pageBreakBefore w:val="0"/>
              <w:spacing w:line="240" w:lineRule="auto"/>
              <w:ind w:lef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316B6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785" w:type="dxa"/>
            <w:noWrap w:val="0"/>
            <w:vAlign w:val="center"/>
          </w:tcPr>
          <w:p w14:paraId="0B517C6B">
            <w:pPr>
              <w:keepNext w:val="0"/>
              <w:keepLines w:val="0"/>
              <w:pageBreakBefore w:val="0"/>
              <w:tabs>
                <w:tab w:val="left" w:pos="426"/>
              </w:tabs>
              <w:spacing w:line="400" w:lineRule="exact"/>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w:t>
            </w:r>
          </w:p>
        </w:tc>
        <w:tc>
          <w:tcPr>
            <w:tcW w:w="1698" w:type="dxa"/>
            <w:noWrap w:val="0"/>
            <w:vAlign w:val="center"/>
          </w:tcPr>
          <w:p w14:paraId="6C42DA21">
            <w:pPr>
              <w:spacing w:line="360" w:lineRule="auto"/>
              <w:jc w:val="center"/>
              <w:rPr>
                <w:rFonts w:hint="eastAsia" w:ascii="宋体" w:hAnsi="宋体" w:eastAsia="宋体" w:cs="宋体"/>
                <w:color w:val="auto"/>
                <w:sz w:val="24"/>
                <w:szCs w:val="24"/>
                <w:highlight w:val="none"/>
                <w:lang w:val="en-US" w:eastAsia="zh-CN"/>
              </w:rPr>
            </w:pPr>
            <w:r>
              <w:rPr>
                <w:rFonts w:hint="eastAsia"/>
                <w:highlight w:val="none"/>
                <w:vertAlign w:val="baseline"/>
                <w:lang w:val="en-US" w:eastAsia="zh-CN"/>
              </w:rPr>
              <w:t>抢险救灾应急预案</w:t>
            </w:r>
          </w:p>
        </w:tc>
        <w:tc>
          <w:tcPr>
            <w:tcW w:w="823" w:type="dxa"/>
            <w:noWrap w:val="0"/>
            <w:vAlign w:val="center"/>
          </w:tcPr>
          <w:p w14:paraId="79799B50">
            <w:pPr>
              <w:spacing w:line="360" w:lineRule="auto"/>
              <w:jc w:val="center"/>
              <w:rPr>
                <w:rFonts w:hint="default" w:ascii="宋体" w:hAnsi="宋体" w:eastAsia="宋体" w:cs="宋体"/>
                <w:color w:val="auto"/>
                <w:sz w:val="24"/>
                <w:szCs w:val="24"/>
                <w:highlight w:val="none"/>
                <w:lang w:val="en-US" w:eastAsia="zh-CN"/>
              </w:rPr>
            </w:pPr>
            <w:r>
              <w:rPr>
                <w:rFonts w:hint="eastAsia"/>
                <w:highlight w:val="none"/>
                <w:vertAlign w:val="baseline"/>
                <w:lang w:val="en-US" w:eastAsia="zh-CN"/>
              </w:rPr>
              <w:t>10</w:t>
            </w:r>
          </w:p>
        </w:tc>
        <w:tc>
          <w:tcPr>
            <w:tcW w:w="6593" w:type="dxa"/>
            <w:noWrap w:val="0"/>
            <w:vAlign w:val="top"/>
          </w:tcPr>
          <w:p w14:paraId="0C3D6BFE">
            <w:pPr>
              <w:widowControl/>
              <w:spacing w:line="360" w:lineRule="auto"/>
              <w:ind w:firstLine="420" w:firstLineChars="20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（一）评分内容 ：投标人提供的</w:t>
            </w:r>
            <w:r>
              <w:rPr>
                <w:rFonts w:hint="eastAsia" w:ascii="Times New Roman" w:eastAsia="宋体"/>
                <w:highlight w:val="none"/>
                <w:vertAlign w:val="baseline"/>
                <w:lang w:val="en-US" w:eastAsia="zh-CN"/>
              </w:rPr>
              <w:t>抢险救灾应急预案</w:t>
            </w:r>
            <w:r>
              <w:rPr>
                <w:rFonts w:hint="eastAsia" w:ascii="宋体" w:hAnsi="宋体" w:eastAsia="宋体" w:cs="宋体"/>
                <w:sz w:val="21"/>
                <w:szCs w:val="21"/>
                <w:highlight w:val="none"/>
                <w:lang w:val="en-US" w:eastAsia="zh-CN"/>
              </w:rPr>
              <w:t>包含但不限于以下内容：</w:t>
            </w:r>
          </w:p>
          <w:p w14:paraId="5D1164ED">
            <w:pPr>
              <w:widowControl/>
              <w:spacing w:line="360" w:lineRule="auto"/>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sz w:val="21"/>
                <w:szCs w:val="21"/>
                <w:highlight w:val="none"/>
                <w:lang w:val="en-US" w:eastAsia="zh-CN"/>
              </w:rPr>
              <w:t>（1）</w:t>
            </w:r>
            <w:r>
              <w:rPr>
                <w:rFonts w:hint="eastAsia" w:ascii="宋体" w:hAnsi="宋体" w:eastAsia="宋体" w:cs="宋体"/>
                <w:color w:val="auto"/>
                <w:sz w:val="21"/>
                <w:szCs w:val="21"/>
                <w:highlight w:val="none"/>
              </w:rPr>
              <w:t>抗旱保苗预案</w:t>
            </w:r>
            <w:r>
              <w:rPr>
                <w:rFonts w:hint="eastAsia" w:ascii="宋体" w:hAnsi="宋体" w:eastAsia="宋体" w:cs="宋体"/>
                <w:color w:val="auto"/>
                <w:sz w:val="21"/>
                <w:szCs w:val="21"/>
                <w:highlight w:val="none"/>
                <w:lang w:eastAsia="zh-CN"/>
              </w:rPr>
              <w:t>；</w:t>
            </w:r>
          </w:p>
          <w:p w14:paraId="516E8ED7">
            <w:pPr>
              <w:widowControl/>
              <w:spacing w:line="360" w:lineRule="auto"/>
              <w:ind w:firstLine="420" w:firstLineChars="20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r>
              <w:rPr>
                <w:rFonts w:hint="eastAsia" w:ascii="宋体" w:hAnsi="宋体" w:eastAsia="宋体" w:cs="宋体"/>
                <w:color w:val="auto"/>
                <w:sz w:val="21"/>
                <w:szCs w:val="21"/>
                <w:highlight w:val="none"/>
                <w:lang w:eastAsia="zh-CN"/>
              </w:rPr>
              <w:t>防台风应急预案</w:t>
            </w:r>
            <w:r>
              <w:rPr>
                <w:rFonts w:hint="eastAsia" w:ascii="宋体" w:hAnsi="宋体" w:eastAsia="宋体" w:cs="宋体"/>
                <w:sz w:val="21"/>
                <w:szCs w:val="21"/>
                <w:highlight w:val="none"/>
                <w:lang w:val="en-US" w:eastAsia="zh-CN"/>
              </w:rPr>
              <w:t>；</w:t>
            </w:r>
          </w:p>
          <w:p w14:paraId="7201F8E9">
            <w:pPr>
              <w:widowControl/>
              <w:spacing w:line="360" w:lineRule="auto"/>
              <w:ind w:firstLine="420" w:firstLineChars="20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w:t>
            </w:r>
            <w:r>
              <w:rPr>
                <w:rFonts w:hint="eastAsia" w:ascii="宋体" w:hAnsi="宋体" w:eastAsia="宋体" w:cs="宋体"/>
                <w:color w:val="auto"/>
                <w:sz w:val="21"/>
                <w:szCs w:val="21"/>
                <w:highlight w:val="none"/>
                <w:lang w:eastAsia="zh-CN"/>
              </w:rPr>
              <w:t>防寒防冻应急预案</w:t>
            </w:r>
            <w:r>
              <w:rPr>
                <w:rFonts w:hint="eastAsia" w:ascii="宋体" w:hAnsi="宋体" w:eastAsia="宋体" w:cs="宋体"/>
                <w:sz w:val="21"/>
                <w:szCs w:val="21"/>
                <w:highlight w:val="none"/>
                <w:lang w:val="en-US" w:eastAsia="zh-CN"/>
              </w:rPr>
              <w:t>；</w:t>
            </w:r>
          </w:p>
          <w:p w14:paraId="0933C086">
            <w:pPr>
              <w:widowControl/>
              <w:spacing w:line="360" w:lineRule="auto"/>
              <w:ind w:firstLine="420" w:firstLineChars="20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w:t>
            </w:r>
            <w:r>
              <w:rPr>
                <w:rFonts w:hint="eastAsia" w:ascii="宋体" w:hAnsi="宋体" w:eastAsia="宋体" w:cs="宋体"/>
                <w:color w:val="auto"/>
                <w:sz w:val="21"/>
                <w:szCs w:val="21"/>
                <w:highlight w:val="none"/>
                <w:lang w:eastAsia="zh-CN"/>
              </w:rPr>
              <w:t>排水防涝应急预案</w:t>
            </w:r>
            <w:r>
              <w:rPr>
                <w:rFonts w:hint="eastAsia" w:ascii="宋体" w:hAnsi="宋体" w:eastAsia="宋体" w:cs="宋体"/>
                <w:sz w:val="21"/>
                <w:szCs w:val="21"/>
                <w:highlight w:val="none"/>
                <w:lang w:val="en-US" w:eastAsia="zh-CN"/>
              </w:rPr>
              <w:t>；</w:t>
            </w:r>
          </w:p>
          <w:p w14:paraId="0C06892F">
            <w:pPr>
              <w:widowControl/>
              <w:spacing w:line="360" w:lineRule="auto"/>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聚众上访事件应急预案；</w:t>
            </w:r>
          </w:p>
          <w:p w14:paraId="3E05831F">
            <w:pPr>
              <w:widowControl/>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）灾后恢复；</w:t>
            </w:r>
          </w:p>
          <w:p w14:paraId="25FA32AB">
            <w:pPr>
              <w:widowControl/>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w:t>
            </w:r>
            <w:r>
              <w:rPr>
                <w:rFonts w:hint="eastAsia" w:ascii="宋体" w:hAnsi="宋体" w:cs="宋体"/>
                <w:sz w:val="21"/>
                <w:szCs w:val="21"/>
                <w:highlight w:val="none"/>
                <w:lang w:val="en-US" w:eastAsia="zh-CN"/>
              </w:rPr>
              <w:t>7</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应急物资（包括抢险救灾储备物资名录、补充台账）</w:t>
            </w:r>
          </w:p>
          <w:p w14:paraId="24D973E0">
            <w:pPr>
              <w:widowControl/>
              <w:spacing w:line="360" w:lineRule="auto"/>
              <w:ind w:firstLine="420" w:firstLineChars="20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人员配备情况到位</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包括人员数量、职责分工</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w:t>
            </w:r>
          </w:p>
          <w:p w14:paraId="24B5B556">
            <w:pPr>
              <w:widowControl/>
              <w:spacing w:line="360" w:lineRule="auto"/>
              <w:ind w:firstLine="420" w:firstLineChars="20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1.考察以上内容，每满足任意一项内容得</w:t>
            </w:r>
            <w:r>
              <w:rPr>
                <w:rFonts w:hint="eastAsia" w:ascii="宋体" w:hAnsi="宋体" w:cs="宋体"/>
                <w:sz w:val="21"/>
                <w:szCs w:val="21"/>
                <w:highlight w:val="none"/>
                <w:lang w:val="en-US" w:eastAsia="zh-CN"/>
              </w:rPr>
              <w:t>7.5</w:t>
            </w:r>
            <w:r>
              <w:rPr>
                <w:rFonts w:hint="eastAsia" w:ascii="宋体" w:hAnsi="宋体" w:eastAsia="宋体" w:cs="宋体"/>
                <w:sz w:val="21"/>
                <w:szCs w:val="21"/>
                <w:highlight w:val="none"/>
                <w:lang w:val="en-US" w:eastAsia="zh-CN"/>
              </w:rPr>
              <w:t>%，最高得</w:t>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lang w:val="en-US" w:eastAsia="zh-CN"/>
              </w:rPr>
              <w:t>0%。</w:t>
            </w:r>
          </w:p>
          <w:p w14:paraId="2DBF08CA">
            <w:pPr>
              <w:widowControl/>
              <w:spacing w:line="360" w:lineRule="auto"/>
              <w:ind w:firstLine="420" w:firstLineChars="20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2.在上述基础上，专家根据各投标人的具体响应内容按照量化的评审因素指标进一步评审。</w:t>
            </w:r>
          </w:p>
          <w:p w14:paraId="591494E4">
            <w:pPr>
              <w:widowControl/>
              <w:spacing w:line="360" w:lineRule="auto"/>
              <w:ind w:firstLine="420" w:firstLineChars="20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（1）方案整体科学合理、针对性强、可操作性强，评审为优加</w:t>
            </w: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lang w:val="en-US" w:eastAsia="zh-CN"/>
              </w:rPr>
              <w:t xml:space="preserve">0%； </w:t>
            </w:r>
          </w:p>
          <w:p w14:paraId="27CE0D66">
            <w:pPr>
              <w:widowControl/>
              <w:spacing w:line="360" w:lineRule="auto"/>
              <w:ind w:firstLine="420" w:firstLineChars="20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（2）方案较合理、有一定针对性、一定可操作性，评审为良加</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lang w:val="en-US" w:eastAsia="zh-CN"/>
              </w:rPr>
              <w:t>0%；</w:t>
            </w:r>
          </w:p>
          <w:p w14:paraId="1ACFBCA0">
            <w:pPr>
              <w:widowControl/>
              <w:spacing w:line="360" w:lineRule="auto"/>
              <w:ind w:firstLine="420" w:firstLineChars="20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（3）方案不尽合理、针对性一般、可操作性一般，评审为中加5%； </w:t>
            </w:r>
          </w:p>
          <w:p w14:paraId="3093AC46">
            <w:pPr>
              <w:widowControl/>
              <w:spacing w:line="360" w:lineRule="auto"/>
              <w:ind w:firstLine="42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1"/>
                <w:szCs w:val="21"/>
                <w:highlight w:val="none"/>
                <w:lang w:val="en-US" w:eastAsia="zh-CN"/>
              </w:rPr>
              <w:t>（4）方案不合理、无针对性、无可操作性，评审为差的，不加分。</w:t>
            </w:r>
          </w:p>
        </w:tc>
        <w:tc>
          <w:tcPr>
            <w:tcW w:w="957" w:type="dxa"/>
            <w:noWrap w:val="0"/>
            <w:vAlign w:val="center"/>
          </w:tcPr>
          <w:p w14:paraId="357E4401">
            <w:pPr>
              <w:keepNext w:val="0"/>
              <w:keepLines w:val="0"/>
              <w:pageBreakBefore w:val="0"/>
              <w:spacing w:line="240" w:lineRule="auto"/>
              <w:ind w:lef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761DA3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785" w:type="dxa"/>
            <w:noWrap w:val="0"/>
            <w:vAlign w:val="center"/>
          </w:tcPr>
          <w:p w14:paraId="027B29F2">
            <w:pPr>
              <w:keepNext w:val="0"/>
              <w:keepLines w:val="0"/>
              <w:pageBreakBefore w:val="0"/>
              <w:tabs>
                <w:tab w:val="left" w:pos="426"/>
              </w:tabs>
              <w:spacing w:line="400" w:lineRule="exact"/>
              <w:jc w:val="center"/>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w:t>
            </w:r>
          </w:p>
        </w:tc>
        <w:tc>
          <w:tcPr>
            <w:tcW w:w="1698" w:type="dxa"/>
            <w:noWrap w:val="0"/>
            <w:vAlign w:val="center"/>
          </w:tcPr>
          <w:p w14:paraId="2DB18F47">
            <w:pPr>
              <w:spacing w:line="360" w:lineRule="auto"/>
              <w:jc w:val="center"/>
              <w:rPr>
                <w:rFonts w:hint="eastAsia" w:ascii="宋体" w:hAnsi="宋体" w:eastAsia="宋体" w:cs="宋体"/>
                <w:color w:val="auto"/>
                <w:sz w:val="24"/>
                <w:szCs w:val="24"/>
                <w:highlight w:val="none"/>
                <w:lang w:val="en-US" w:eastAsia="zh-CN"/>
              </w:rPr>
            </w:pPr>
            <w:r>
              <w:rPr>
                <w:rFonts w:hint="eastAsia"/>
                <w:highlight w:val="none"/>
                <w:vertAlign w:val="baseline"/>
                <w:lang w:val="en-US" w:eastAsia="zh-CN"/>
              </w:rPr>
              <w:t>农药使用方案</w:t>
            </w:r>
          </w:p>
        </w:tc>
        <w:tc>
          <w:tcPr>
            <w:tcW w:w="823" w:type="dxa"/>
            <w:noWrap w:val="0"/>
            <w:vAlign w:val="center"/>
          </w:tcPr>
          <w:p w14:paraId="4CB5E156">
            <w:pPr>
              <w:spacing w:line="360" w:lineRule="auto"/>
              <w:jc w:val="center"/>
              <w:rPr>
                <w:rFonts w:hint="default" w:ascii="宋体" w:hAnsi="宋体" w:eastAsia="宋体" w:cs="宋体"/>
                <w:color w:val="auto"/>
                <w:sz w:val="24"/>
                <w:szCs w:val="24"/>
                <w:highlight w:val="none"/>
                <w:lang w:val="en-US" w:eastAsia="zh-CN"/>
              </w:rPr>
            </w:pPr>
            <w:r>
              <w:rPr>
                <w:rFonts w:hint="eastAsia"/>
                <w:highlight w:val="none"/>
                <w:vertAlign w:val="baseline"/>
                <w:lang w:val="en-US" w:eastAsia="zh-CN"/>
              </w:rPr>
              <w:t>6</w:t>
            </w:r>
          </w:p>
        </w:tc>
        <w:tc>
          <w:tcPr>
            <w:tcW w:w="6593" w:type="dxa"/>
            <w:noWrap w:val="0"/>
            <w:vAlign w:val="top"/>
          </w:tcPr>
          <w:p w14:paraId="020AA78A">
            <w:pPr>
              <w:spacing w:line="360" w:lineRule="auto"/>
              <w:rPr>
                <w:rFonts w:hint="eastAsia"/>
                <w:highlight w:val="none"/>
                <w:vertAlign w:val="baseline"/>
                <w:lang w:val="en-US" w:eastAsia="zh-CN"/>
              </w:rPr>
            </w:pPr>
            <w:r>
              <w:rPr>
                <w:rFonts w:hint="eastAsia"/>
                <w:highlight w:val="none"/>
                <w:vertAlign w:val="baseline"/>
                <w:lang w:val="en-US" w:eastAsia="zh-CN"/>
              </w:rPr>
              <w:t>（一）评分内容 ：投标人提供的</w:t>
            </w:r>
            <w:r>
              <w:rPr>
                <w:rFonts w:hint="eastAsia" w:ascii="Times New Roman" w:eastAsia="宋体"/>
                <w:highlight w:val="none"/>
                <w:vertAlign w:val="baseline"/>
                <w:lang w:val="en-US" w:eastAsia="zh-CN"/>
              </w:rPr>
              <w:t>农药使用方案</w:t>
            </w:r>
            <w:r>
              <w:rPr>
                <w:rFonts w:hint="eastAsia"/>
                <w:highlight w:val="none"/>
                <w:vertAlign w:val="baseline"/>
                <w:lang w:val="en-US" w:eastAsia="zh-CN"/>
              </w:rPr>
              <w:t>包含但不限于以下内容：</w:t>
            </w:r>
          </w:p>
          <w:p w14:paraId="23F816D7">
            <w:pPr>
              <w:spacing w:line="360" w:lineRule="auto"/>
              <w:rPr>
                <w:rFonts w:hint="eastAsia"/>
                <w:highlight w:val="none"/>
                <w:vertAlign w:val="baseline"/>
                <w:lang w:val="en-US" w:eastAsia="zh-CN"/>
              </w:rPr>
            </w:pPr>
            <w:r>
              <w:rPr>
                <w:rFonts w:hint="eastAsia"/>
                <w:highlight w:val="none"/>
                <w:vertAlign w:val="baseline"/>
                <w:lang w:val="en-US" w:eastAsia="zh-CN"/>
              </w:rPr>
              <w:t>（1）</w:t>
            </w:r>
            <w:r>
              <w:rPr>
                <w:rFonts w:hint="eastAsia" w:ascii="Times New Roman" w:eastAsia="宋体"/>
                <w:highlight w:val="none"/>
                <w:vertAlign w:val="baseline"/>
                <w:lang w:val="en-US" w:eastAsia="zh-CN"/>
              </w:rPr>
              <w:t>有详细的全年病虫害防治计划</w:t>
            </w:r>
            <w:r>
              <w:rPr>
                <w:rFonts w:hint="eastAsia"/>
                <w:highlight w:val="none"/>
                <w:vertAlign w:val="baseline"/>
                <w:lang w:val="en-US" w:eastAsia="zh-CN"/>
              </w:rPr>
              <w:t>；</w:t>
            </w:r>
          </w:p>
          <w:p w14:paraId="2C236186">
            <w:pPr>
              <w:spacing w:line="360" w:lineRule="auto"/>
              <w:rPr>
                <w:rFonts w:hint="eastAsia"/>
                <w:highlight w:val="none"/>
                <w:vertAlign w:val="baseline"/>
                <w:lang w:val="en-US" w:eastAsia="zh-CN"/>
              </w:rPr>
            </w:pPr>
            <w:r>
              <w:rPr>
                <w:rFonts w:hint="eastAsia"/>
                <w:highlight w:val="none"/>
                <w:vertAlign w:val="baseline"/>
                <w:lang w:val="en-US" w:eastAsia="zh-CN"/>
              </w:rPr>
              <w:t>（2）</w:t>
            </w:r>
            <w:r>
              <w:rPr>
                <w:rFonts w:hint="eastAsia" w:ascii="Times New Roman" w:eastAsia="宋体"/>
                <w:highlight w:val="none"/>
                <w:vertAlign w:val="baseline"/>
                <w:lang w:val="en-US" w:eastAsia="zh-CN"/>
              </w:rPr>
              <w:t>针对常发性病害和虫害，制定科学合理的病虫害防治月历的</w:t>
            </w:r>
            <w:r>
              <w:rPr>
                <w:rFonts w:hint="eastAsia"/>
                <w:highlight w:val="none"/>
                <w:vertAlign w:val="baseline"/>
                <w:lang w:val="en-US" w:eastAsia="zh-CN"/>
              </w:rPr>
              <w:t>；</w:t>
            </w:r>
          </w:p>
          <w:p w14:paraId="5C2C7D9A">
            <w:pPr>
              <w:spacing w:line="360" w:lineRule="auto"/>
              <w:rPr>
                <w:rFonts w:hint="eastAsia"/>
                <w:highlight w:val="none"/>
                <w:vertAlign w:val="baseline"/>
                <w:lang w:val="en-US" w:eastAsia="zh-CN"/>
              </w:rPr>
            </w:pPr>
            <w:r>
              <w:rPr>
                <w:rFonts w:hint="eastAsia"/>
                <w:highlight w:val="none"/>
                <w:vertAlign w:val="baseline"/>
                <w:lang w:val="en-US" w:eastAsia="zh-CN"/>
              </w:rPr>
              <w:t>（3）</w:t>
            </w:r>
            <w:r>
              <w:rPr>
                <w:rFonts w:hint="eastAsia" w:ascii="Times New Roman" w:eastAsia="宋体"/>
                <w:highlight w:val="none"/>
                <w:vertAlign w:val="baseline"/>
                <w:lang w:val="en-US" w:eastAsia="zh-CN"/>
              </w:rPr>
              <w:t>病虫害使用低毒高效农药防治措施</w:t>
            </w:r>
            <w:r>
              <w:rPr>
                <w:rFonts w:hint="eastAsia"/>
                <w:highlight w:val="none"/>
                <w:vertAlign w:val="baseline"/>
                <w:lang w:val="en-US" w:eastAsia="zh-CN"/>
              </w:rPr>
              <w:t>；</w:t>
            </w:r>
          </w:p>
          <w:p w14:paraId="6B76BBED">
            <w:pPr>
              <w:spacing w:line="360" w:lineRule="auto"/>
              <w:rPr>
                <w:rFonts w:hint="eastAsia"/>
                <w:highlight w:val="none"/>
                <w:vertAlign w:val="baseline"/>
                <w:lang w:val="en-US" w:eastAsia="zh-CN"/>
              </w:rPr>
            </w:pPr>
            <w:r>
              <w:rPr>
                <w:rFonts w:hint="eastAsia"/>
                <w:highlight w:val="none"/>
                <w:vertAlign w:val="baseline"/>
                <w:lang w:val="en-US" w:eastAsia="zh-CN"/>
              </w:rPr>
              <w:t>（4）</w:t>
            </w:r>
            <w:r>
              <w:rPr>
                <w:rFonts w:hint="eastAsia" w:ascii="Times New Roman" w:eastAsia="宋体"/>
                <w:highlight w:val="none"/>
                <w:vertAlign w:val="baseline"/>
                <w:lang w:val="en-US" w:eastAsia="zh-CN"/>
              </w:rPr>
              <w:t>有采用生物防治、化学防治、物理防治相结合的手段防治病虫害实例的</w:t>
            </w:r>
            <w:r>
              <w:rPr>
                <w:rFonts w:hint="eastAsia"/>
                <w:highlight w:val="none"/>
                <w:vertAlign w:val="baseline"/>
                <w:lang w:val="en-US" w:eastAsia="zh-CN"/>
              </w:rPr>
              <w:t>；</w:t>
            </w:r>
          </w:p>
          <w:p w14:paraId="7CA4C732">
            <w:pPr>
              <w:spacing w:line="360" w:lineRule="auto"/>
              <w:rPr>
                <w:rFonts w:hint="eastAsia"/>
                <w:highlight w:val="none"/>
                <w:vertAlign w:val="baseline"/>
                <w:lang w:val="en-US" w:eastAsia="zh-CN"/>
              </w:rPr>
            </w:pPr>
            <w:r>
              <w:rPr>
                <w:rFonts w:hint="eastAsia"/>
                <w:highlight w:val="none"/>
                <w:vertAlign w:val="baseline"/>
                <w:lang w:val="en-US" w:eastAsia="zh-CN"/>
              </w:rPr>
              <w:t>1.考察以上内容，每满足任意一项内容得15%，最高得60%。</w:t>
            </w:r>
          </w:p>
          <w:p w14:paraId="40B66375">
            <w:pPr>
              <w:spacing w:line="360" w:lineRule="auto"/>
              <w:rPr>
                <w:rFonts w:hint="eastAsia"/>
                <w:highlight w:val="none"/>
                <w:vertAlign w:val="baseline"/>
                <w:lang w:val="en-US" w:eastAsia="zh-CN"/>
              </w:rPr>
            </w:pPr>
            <w:r>
              <w:rPr>
                <w:rFonts w:hint="eastAsia"/>
                <w:highlight w:val="none"/>
                <w:vertAlign w:val="baseline"/>
                <w:lang w:val="en-US" w:eastAsia="zh-CN"/>
              </w:rPr>
              <w:t>2.在上述基础上，专家根据各投标人的具体响应内容按照量化的评审因素指标进一步评审。</w:t>
            </w:r>
          </w:p>
          <w:p w14:paraId="3813DB45">
            <w:pPr>
              <w:spacing w:line="360" w:lineRule="auto"/>
              <w:rPr>
                <w:rFonts w:hint="eastAsia"/>
                <w:highlight w:val="none"/>
                <w:vertAlign w:val="baseline"/>
                <w:lang w:val="en-US" w:eastAsia="zh-CN"/>
              </w:rPr>
            </w:pPr>
            <w:r>
              <w:rPr>
                <w:rFonts w:hint="eastAsia"/>
                <w:highlight w:val="none"/>
                <w:vertAlign w:val="baseline"/>
                <w:lang w:val="en-US" w:eastAsia="zh-CN"/>
              </w:rPr>
              <w:t xml:space="preserve">（1）方案整体科学合理、针对性强、可操作性强，评审为优加40%； </w:t>
            </w:r>
          </w:p>
          <w:p w14:paraId="2607F73D">
            <w:pPr>
              <w:spacing w:line="360" w:lineRule="auto"/>
              <w:rPr>
                <w:rFonts w:hint="eastAsia"/>
                <w:highlight w:val="none"/>
                <w:vertAlign w:val="baseline"/>
                <w:lang w:val="en-US" w:eastAsia="zh-CN"/>
              </w:rPr>
            </w:pPr>
            <w:r>
              <w:rPr>
                <w:rFonts w:hint="eastAsia"/>
                <w:highlight w:val="none"/>
                <w:vertAlign w:val="baseline"/>
                <w:lang w:val="en-US" w:eastAsia="zh-CN"/>
              </w:rPr>
              <w:t>（2）方案较合理、有一定针对性、一定可操作性，评审为良加20%；</w:t>
            </w:r>
          </w:p>
          <w:p w14:paraId="059D9A80">
            <w:pPr>
              <w:spacing w:line="360" w:lineRule="auto"/>
              <w:rPr>
                <w:rFonts w:hint="eastAsia"/>
                <w:highlight w:val="none"/>
                <w:vertAlign w:val="baseline"/>
                <w:lang w:val="en-US" w:eastAsia="zh-CN"/>
              </w:rPr>
            </w:pPr>
            <w:r>
              <w:rPr>
                <w:rFonts w:hint="eastAsia"/>
                <w:highlight w:val="none"/>
                <w:vertAlign w:val="baseline"/>
                <w:lang w:val="en-US" w:eastAsia="zh-CN"/>
              </w:rPr>
              <w:t xml:space="preserve">（3）方案不尽合理、针对性一般、可操作性一般，评审为中加5%； </w:t>
            </w:r>
          </w:p>
          <w:p w14:paraId="1A3CF306">
            <w:pPr>
              <w:spacing w:line="360" w:lineRule="auto"/>
              <w:rPr>
                <w:rFonts w:hint="eastAsia" w:ascii="宋体" w:hAnsi="宋体" w:eastAsia="宋体" w:cs="宋体"/>
                <w:color w:val="auto"/>
                <w:sz w:val="24"/>
                <w:szCs w:val="24"/>
                <w:highlight w:val="none"/>
                <w:lang w:val="en-US" w:eastAsia="zh-CN"/>
              </w:rPr>
            </w:pPr>
            <w:r>
              <w:rPr>
                <w:rFonts w:hint="eastAsia"/>
                <w:highlight w:val="none"/>
                <w:vertAlign w:val="baseline"/>
                <w:lang w:val="en-US" w:eastAsia="zh-CN"/>
              </w:rPr>
              <w:t>（4）方案不合理、无针对性、无可操作性，评审为差的，不加分。</w:t>
            </w:r>
          </w:p>
        </w:tc>
        <w:tc>
          <w:tcPr>
            <w:tcW w:w="957" w:type="dxa"/>
            <w:noWrap w:val="0"/>
            <w:vAlign w:val="center"/>
          </w:tcPr>
          <w:p w14:paraId="0F2B93B2">
            <w:pPr>
              <w:keepNext w:val="0"/>
              <w:keepLines w:val="0"/>
              <w:pageBreakBefore w:val="0"/>
              <w:spacing w:line="240" w:lineRule="auto"/>
              <w:ind w:lef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26634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785" w:type="dxa"/>
            <w:noWrap w:val="0"/>
            <w:vAlign w:val="center"/>
          </w:tcPr>
          <w:p w14:paraId="64C60D7E">
            <w:pPr>
              <w:keepNext w:val="0"/>
              <w:keepLines w:val="0"/>
              <w:pageBreakBefore w:val="0"/>
              <w:tabs>
                <w:tab w:val="left" w:pos="426"/>
              </w:tabs>
              <w:spacing w:line="400" w:lineRule="exact"/>
              <w:jc w:val="center"/>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w:t>
            </w:r>
          </w:p>
        </w:tc>
        <w:tc>
          <w:tcPr>
            <w:tcW w:w="1698" w:type="dxa"/>
            <w:noWrap w:val="0"/>
            <w:vAlign w:val="center"/>
          </w:tcPr>
          <w:p w14:paraId="6CA918FF">
            <w:pPr>
              <w:spacing w:line="360" w:lineRule="auto"/>
              <w:jc w:val="center"/>
              <w:rPr>
                <w:rFonts w:hint="eastAsia" w:ascii="宋体" w:hAnsi="宋体" w:eastAsia="宋体" w:cs="宋体"/>
                <w:color w:val="auto"/>
                <w:sz w:val="24"/>
                <w:szCs w:val="24"/>
                <w:highlight w:val="none"/>
                <w:lang w:val="en-US" w:eastAsia="zh-CN"/>
              </w:rPr>
            </w:pPr>
            <w:r>
              <w:rPr>
                <w:rFonts w:hint="eastAsia"/>
                <w:highlight w:val="none"/>
                <w:vertAlign w:val="baseline"/>
                <w:lang w:val="en-US" w:eastAsia="zh-CN"/>
              </w:rPr>
              <w:t>植物除草、灌溉、施肥方案</w:t>
            </w:r>
          </w:p>
        </w:tc>
        <w:tc>
          <w:tcPr>
            <w:tcW w:w="823" w:type="dxa"/>
            <w:noWrap w:val="0"/>
            <w:vAlign w:val="center"/>
          </w:tcPr>
          <w:p w14:paraId="39461E47">
            <w:pPr>
              <w:spacing w:line="360" w:lineRule="auto"/>
              <w:jc w:val="center"/>
              <w:rPr>
                <w:rFonts w:hint="default" w:ascii="宋体" w:hAnsi="宋体" w:eastAsia="宋体" w:cs="宋体"/>
                <w:color w:val="auto"/>
                <w:sz w:val="24"/>
                <w:szCs w:val="24"/>
                <w:highlight w:val="none"/>
                <w:lang w:val="en-US" w:eastAsia="zh-CN"/>
              </w:rPr>
            </w:pPr>
            <w:r>
              <w:rPr>
                <w:rFonts w:hint="eastAsia"/>
                <w:highlight w:val="none"/>
                <w:vertAlign w:val="baseline"/>
                <w:lang w:val="en-US" w:eastAsia="zh-CN"/>
              </w:rPr>
              <w:t>6</w:t>
            </w:r>
          </w:p>
        </w:tc>
        <w:tc>
          <w:tcPr>
            <w:tcW w:w="6593" w:type="dxa"/>
            <w:noWrap w:val="0"/>
            <w:vAlign w:val="top"/>
          </w:tcPr>
          <w:p w14:paraId="3C5F6DFD">
            <w:pPr>
              <w:spacing w:line="360" w:lineRule="auto"/>
              <w:rPr>
                <w:rFonts w:hint="eastAsia"/>
                <w:highlight w:val="none"/>
                <w:vertAlign w:val="baseline"/>
                <w:lang w:val="en-US" w:eastAsia="zh-CN"/>
              </w:rPr>
            </w:pPr>
            <w:r>
              <w:rPr>
                <w:rFonts w:hint="eastAsia"/>
                <w:highlight w:val="none"/>
                <w:vertAlign w:val="baseline"/>
                <w:lang w:val="en-US" w:eastAsia="zh-CN"/>
              </w:rPr>
              <w:t>(一)评分内容 :投标人提供的</w:t>
            </w:r>
            <w:r>
              <w:rPr>
                <w:rFonts w:hint="eastAsia" w:ascii="Times New Roman" w:eastAsia="宋体"/>
                <w:highlight w:val="none"/>
                <w:vertAlign w:val="baseline"/>
                <w:lang w:val="en-US" w:eastAsia="zh-CN"/>
              </w:rPr>
              <w:t>植物除草、灌溉、施肥方案</w:t>
            </w:r>
            <w:r>
              <w:rPr>
                <w:rFonts w:hint="eastAsia"/>
                <w:highlight w:val="none"/>
                <w:vertAlign w:val="baseline"/>
                <w:lang w:val="en-US" w:eastAsia="zh-CN"/>
              </w:rPr>
              <w:t xml:space="preserve">包含但不限于以下内容: </w:t>
            </w:r>
          </w:p>
          <w:p w14:paraId="00B0D544">
            <w:pPr>
              <w:spacing w:line="360" w:lineRule="auto"/>
              <w:rPr>
                <w:rFonts w:hint="eastAsia"/>
                <w:highlight w:val="none"/>
                <w:vertAlign w:val="baseline"/>
                <w:lang w:val="en-US" w:eastAsia="zh-CN"/>
              </w:rPr>
            </w:pPr>
            <w:r>
              <w:rPr>
                <w:rFonts w:hint="eastAsia"/>
                <w:highlight w:val="none"/>
                <w:vertAlign w:val="baseline"/>
                <w:lang w:val="en-US" w:eastAsia="zh-CN"/>
              </w:rPr>
              <w:t>（1）</w:t>
            </w:r>
            <w:r>
              <w:rPr>
                <w:rFonts w:hint="eastAsia" w:ascii="Times New Roman" w:eastAsia="宋体"/>
                <w:highlight w:val="none"/>
                <w:vertAlign w:val="baseline"/>
                <w:lang w:val="en-US" w:eastAsia="zh-CN"/>
              </w:rPr>
              <w:t>根据养护区域、季节采取相应除草措施</w:t>
            </w:r>
            <w:r>
              <w:rPr>
                <w:rFonts w:hint="eastAsia"/>
                <w:highlight w:val="none"/>
                <w:vertAlign w:val="baseline"/>
                <w:lang w:val="en-US" w:eastAsia="zh-CN"/>
              </w:rPr>
              <w:t xml:space="preserve">; </w:t>
            </w:r>
          </w:p>
          <w:p w14:paraId="7497A79A">
            <w:pPr>
              <w:spacing w:line="360" w:lineRule="auto"/>
              <w:rPr>
                <w:rFonts w:hint="eastAsia"/>
                <w:highlight w:val="none"/>
                <w:vertAlign w:val="baseline"/>
                <w:lang w:val="en-US" w:eastAsia="zh-CN"/>
              </w:rPr>
            </w:pPr>
            <w:r>
              <w:rPr>
                <w:rFonts w:hint="eastAsia"/>
                <w:highlight w:val="none"/>
                <w:vertAlign w:val="baseline"/>
                <w:lang w:val="en-US" w:eastAsia="zh-CN"/>
              </w:rPr>
              <w:t>（2）</w:t>
            </w:r>
            <w:r>
              <w:rPr>
                <w:rFonts w:hint="eastAsia" w:ascii="Times New Roman" w:eastAsia="宋体"/>
                <w:highlight w:val="none"/>
                <w:vertAlign w:val="baseline"/>
                <w:lang w:val="en-US" w:eastAsia="zh-CN"/>
              </w:rPr>
              <w:t>有响应养护月历的浇水、排水要求</w:t>
            </w:r>
            <w:r>
              <w:rPr>
                <w:rFonts w:hint="eastAsia"/>
                <w:highlight w:val="none"/>
                <w:vertAlign w:val="baseline"/>
                <w:lang w:val="en-US" w:eastAsia="zh-CN"/>
              </w:rPr>
              <w:t xml:space="preserve">; </w:t>
            </w:r>
          </w:p>
          <w:p w14:paraId="3B9B60A3">
            <w:pPr>
              <w:spacing w:line="360" w:lineRule="auto"/>
              <w:rPr>
                <w:rFonts w:hint="eastAsia"/>
                <w:highlight w:val="none"/>
                <w:vertAlign w:val="baseline"/>
                <w:lang w:val="en-US" w:eastAsia="zh-CN"/>
              </w:rPr>
            </w:pPr>
            <w:r>
              <w:rPr>
                <w:rFonts w:hint="eastAsia"/>
                <w:highlight w:val="none"/>
                <w:vertAlign w:val="baseline"/>
                <w:lang w:val="en-US" w:eastAsia="zh-CN"/>
              </w:rPr>
              <w:t>（3）</w:t>
            </w:r>
            <w:r>
              <w:rPr>
                <w:rFonts w:hint="eastAsia" w:ascii="Times New Roman" w:eastAsia="宋体"/>
                <w:highlight w:val="none"/>
                <w:vertAlign w:val="baseline"/>
                <w:lang w:val="en-US" w:eastAsia="zh-CN"/>
              </w:rPr>
              <w:t>根据生长规律制定出有效的施肥方案</w:t>
            </w:r>
            <w:r>
              <w:rPr>
                <w:rFonts w:hint="eastAsia"/>
                <w:highlight w:val="none"/>
                <w:vertAlign w:val="baseline"/>
                <w:lang w:val="en-US" w:eastAsia="zh-CN"/>
              </w:rPr>
              <w:t>。</w:t>
            </w:r>
          </w:p>
          <w:p w14:paraId="57D7D48A">
            <w:pPr>
              <w:spacing w:line="360" w:lineRule="auto"/>
              <w:rPr>
                <w:rFonts w:hint="eastAsia"/>
                <w:highlight w:val="none"/>
                <w:vertAlign w:val="baseline"/>
                <w:lang w:val="en-US" w:eastAsia="zh-CN"/>
              </w:rPr>
            </w:pPr>
            <w:r>
              <w:rPr>
                <w:rFonts w:hint="eastAsia"/>
                <w:highlight w:val="none"/>
                <w:vertAlign w:val="baseline"/>
                <w:lang w:val="en-US" w:eastAsia="zh-CN"/>
              </w:rPr>
              <w:t>(二)评审依据:</w:t>
            </w:r>
          </w:p>
          <w:p w14:paraId="34B1A423">
            <w:pPr>
              <w:spacing w:line="360" w:lineRule="auto"/>
              <w:rPr>
                <w:rFonts w:hint="eastAsia"/>
                <w:highlight w:val="none"/>
                <w:vertAlign w:val="baseline"/>
                <w:lang w:val="en-US" w:eastAsia="zh-CN"/>
              </w:rPr>
            </w:pPr>
            <w:r>
              <w:rPr>
                <w:rFonts w:hint="eastAsia"/>
                <w:highlight w:val="none"/>
                <w:vertAlign w:val="baseline"/>
                <w:lang w:val="en-US" w:eastAsia="zh-CN"/>
              </w:rPr>
              <w:t xml:space="preserve"> 1.</w:t>
            </w:r>
            <w:r>
              <w:rPr>
                <w:rFonts w:hint="eastAsia" w:ascii="Times New Roman" w:eastAsia="宋体"/>
                <w:highlight w:val="none"/>
                <w:vertAlign w:val="baseline"/>
                <w:lang w:val="en-US" w:eastAsia="zh-CN"/>
              </w:rPr>
              <w:t>考察以上内容，每满足任意一项内容得15%，最高得60%。</w:t>
            </w:r>
          </w:p>
          <w:p w14:paraId="098DCCF9">
            <w:pPr>
              <w:spacing w:line="360" w:lineRule="auto"/>
              <w:rPr>
                <w:rFonts w:hint="eastAsia"/>
                <w:highlight w:val="none"/>
                <w:vertAlign w:val="baseline"/>
                <w:lang w:val="en-US" w:eastAsia="zh-CN"/>
              </w:rPr>
            </w:pPr>
            <w:r>
              <w:rPr>
                <w:rFonts w:hint="eastAsia"/>
                <w:highlight w:val="none"/>
                <w:vertAlign w:val="baseline"/>
                <w:lang w:val="en-US" w:eastAsia="zh-CN"/>
              </w:rPr>
              <w:t>2.在此基础上,专家根据各投标人的具体响应内容按照量化的评审因素指标进一步评审。</w:t>
            </w:r>
          </w:p>
          <w:p w14:paraId="1834A200">
            <w:pPr>
              <w:spacing w:line="360" w:lineRule="auto"/>
              <w:rPr>
                <w:rFonts w:hint="eastAsia"/>
                <w:highlight w:val="none"/>
                <w:vertAlign w:val="baseline"/>
                <w:lang w:val="en-US" w:eastAsia="zh-CN"/>
              </w:rPr>
            </w:pPr>
            <w:r>
              <w:rPr>
                <w:rFonts w:hint="eastAsia"/>
                <w:highlight w:val="none"/>
                <w:vertAlign w:val="baseline"/>
                <w:lang w:val="en-US" w:eastAsia="zh-CN"/>
              </w:rPr>
              <w:t>（1）方案整体科学合理、针对性强、可操作性强，评审为优加40%；</w:t>
            </w:r>
          </w:p>
          <w:p w14:paraId="7544880B">
            <w:pPr>
              <w:spacing w:line="360" w:lineRule="auto"/>
              <w:rPr>
                <w:rFonts w:hint="eastAsia"/>
                <w:highlight w:val="none"/>
                <w:vertAlign w:val="baseline"/>
                <w:lang w:val="en-US" w:eastAsia="zh-CN"/>
              </w:rPr>
            </w:pPr>
            <w:r>
              <w:rPr>
                <w:rFonts w:hint="eastAsia"/>
                <w:highlight w:val="none"/>
                <w:vertAlign w:val="baseline"/>
                <w:lang w:val="en-US" w:eastAsia="zh-CN"/>
              </w:rPr>
              <w:t>（2）方案较合理、有一定针对性、一定可操作性，评审为良加20%；</w:t>
            </w:r>
          </w:p>
          <w:p w14:paraId="2418CB12">
            <w:pPr>
              <w:spacing w:line="360" w:lineRule="auto"/>
              <w:rPr>
                <w:rFonts w:hint="eastAsia"/>
                <w:highlight w:val="none"/>
                <w:vertAlign w:val="baseline"/>
                <w:lang w:val="en-US" w:eastAsia="zh-CN"/>
              </w:rPr>
            </w:pPr>
            <w:r>
              <w:rPr>
                <w:rFonts w:hint="eastAsia"/>
                <w:highlight w:val="none"/>
                <w:vertAlign w:val="baseline"/>
                <w:lang w:val="en-US" w:eastAsia="zh-CN"/>
              </w:rPr>
              <w:t xml:space="preserve">（3）方案不尽合理、针对性一般、可操作性一般，评审为中加 5%； </w:t>
            </w:r>
          </w:p>
          <w:p w14:paraId="4AAEF487">
            <w:pPr>
              <w:spacing w:line="360" w:lineRule="auto"/>
              <w:rPr>
                <w:rFonts w:hint="eastAsia" w:ascii="宋体" w:hAnsi="宋体" w:eastAsia="宋体" w:cs="宋体"/>
                <w:color w:val="auto"/>
                <w:sz w:val="24"/>
                <w:szCs w:val="24"/>
                <w:highlight w:val="none"/>
                <w:lang w:val="en-US" w:eastAsia="zh-CN"/>
              </w:rPr>
            </w:pPr>
            <w:r>
              <w:rPr>
                <w:rFonts w:hint="eastAsia"/>
                <w:highlight w:val="none"/>
                <w:vertAlign w:val="baseline"/>
                <w:lang w:val="en-US" w:eastAsia="zh-CN"/>
              </w:rPr>
              <w:t>（4）方案不合理、无针对性、无可操作性，评审为差的，不加分。</w:t>
            </w:r>
          </w:p>
        </w:tc>
        <w:tc>
          <w:tcPr>
            <w:tcW w:w="957" w:type="dxa"/>
            <w:noWrap w:val="0"/>
            <w:vAlign w:val="center"/>
          </w:tcPr>
          <w:p w14:paraId="5E772B92">
            <w:pPr>
              <w:keepNext w:val="0"/>
              <w:keepLines w:val="0"/>
              <w:pageBreakBefore w:val="0"/>
              <w:spacing w:line="240" w:lineRule="auto"/>
              <w:ind w:lef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4BD37A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785" w:type="dxa"/>
            <w:noWrap w:val="0"/>
            <w:vAlign w:val="center"/>
          </w:tcPr>
          <w:p w14:paraId="5122C9A3">
            <w:pPr>
              <w:keepNext w:val="0"/>
              <w:keepLines w:val="0"/>
              <w:pageBreakBefore w:val="0"/>
              <w:tabs>
                <w:tab w:val="left" w:pos="426"/>
              </w:tabs>
              <w:spacing w:line="400" w:lineRule="exact"/>
              <w:jc w:val="center"/>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w:t>
            </w:r>
          </w:p>
        </w:tc>
        <w:tc>
          <w:tcPr>
            <w:tcW w:w="1698" w:type="dxa"/>
            <w:noWrap w:val="0"/>
            <w:vAlign w:val="center"/>
          </w:tcPr>
          <w:p w14:paraId="70F2D41C">
            <w:pPr>
              <w:spacing w:line="360" w:lineRule="auto"/>
              <w:jc w:val="center"/>
              <w:rPr>
                <w:rFonts w:hint="eastAsia" w:ascii="宋体" w:hAnsi="宋体" w:eastAsia="宋体" w:cs="宋体"/>
                <w:color w:val="auto"/>
                <w:sz w:val="24"/>
                <w:szCs w:val="24"/>
                <w:highlight w:val="none"/>
                <w:lang w:val="en-US" w:eastAsia="zh-CN"/>
              </w:rPr>
            </w:pPr>
            <w:r>
              <w:rPr>
                <w:rFonts w:hint="eastAsia"/>
                <w:highlight w:val="none"/>
                <w:vertAlign w:val="baseline"/>
                <w:lang w:val="en-US" w:eastAsia="zh-CN"/>
              </w:rPr>
              <w:t>巡查方案</w:t>
            </w:r>
          </w:p>
        </w:tc>
        <w:tc>
          <w:tcPr>
            <w:tcW w:w="823" w:type="dxa"/>
            <w:noWrap w:val="0"/>
            <w:vAlign w:val="center"/>
          </w:tcPr>
          <w:p w14:paraId="769C1EE0">
            <w:pPr>
              <w:spacing w:line="360" w:lineRule="auto"/>
              <w:jc w:val="center"/>
              <w:rPr>
                <w:rFonts w:hint="default" w:ascii="宋体" w:hAnsi="宋体" w:eastAsia="宋体" w:cs="宋体"/>
                <w:color w:val="auto"/>
                <w:sz w:val="24"/>
                <w:szCs w:val="24"/>
                <w:highlight w:val="none"/>
                <w:lang w:val="en-US" w:eastAsia="zh-CN"/>
              </w:rPr>
            </w:pPr>
            <w:r>
              <w:rPr>
                <w:rFonts w:hint="eastAsia"/>
                <w:highlight w:val="none"/>
                <w:vertAlign w:val="baseline"/>
                <w:lang w:val="en-US" w:eastAsia="zh-CN"/>
              </w:rPr>
              <w:t>5</w:t>
            </w:r>
          </w:p>
        </w:tc>
        <w:tc>
          <w:tcPr>
            <w:tcW w:w="6593" w:type="dxa"/>
            <w:noWrap w:val="0"/>
            <w:vAlign w:val="top"/>
          </w:tcPr>
          <w:p w14:paraId="39B70EDB">
            <w:pPr>
              <w:spacing w:line="360" w:lineRule="auto"/>
              <w:rPr>
                <w:rFonts w:hint="eastAsia" w:eastAsia="宋体"/>
                <w:highlight w:val="none"/>
                <w:vertAlign w:val="baseline"/>
                <w:lang w:val="en-US" w:eastAsia="zh-CN"/>
              </w:rPr>
            </w:pPr>
            <w:r>
              <w:rPr>
                <w:rFonts w:hint="eastAsia" w:eastAsia="宋体"/>
                <w:highlight w:val="none"/>
                <w:vertAlign w:val="baseline"/>
                <w:lang w:val="en-US" w:eastAsia="zh-CN"/>
              </w:rPr>
              <w:t>（一）评分内容 ：投标人提供的</w:t>
            </w:r>
            <w:r>
              <w:rPr>
                <w:rFonts w:hint="eastAsia" w:ascii="Times New Roman" w:eastAsia="宋体"/>
                <w:highlight w:val="none"/>
                <w:vertAlign w:val="baseline"/>
                <w:lang w:val="en-US" w:eastAsia="zh-CN"/>
              </w:rPr>
              <w:t>巡查方案</w:t>
            </w:r>
            <w:r>
              <w:rPr>
                <w:rFonts w:hint="eastAsia" w:eastAsia="宋体"/>
                <w:highlight w:val="none"/>
                <w:vertAlign w:val="baseline"/>
                <w:lang w:val="en-US" w:eastAsia="zh-CN"/>
              </w:rPr>
              <w:t>包含但不限于以下内容：</w:t>
            </w:r>
          </w:p>
          <w:p w14:paraId="666E543D">
            <w:pPr>
              <w:spacing w:line="360" w:lineRule="auto"/>
              <w:rPr>
                <w:rFonts w:hint="eastAsia" w:eastAsia="宋体"/>
                <w:highlight w:val="none"/>
                <w:vertAlign w:val="baseline"/>
                <w:lang w:val="en-US" w:eastAsia="zh-CN"/>
              </w:rPr>
            </w:pPr>
            <w:r>
              <w:rPr>
                <w:rFonts w:hint="eastAsia" w:eastAsia="宋体"/>
                <w:highlight w:val="none"/>
                <w:vertAlign w:val="baseline"/>
                <w:lang w:val="en-US" w:eastAsia="zh-CN"/>
              </w:rPr>
              <w:t>（1）</w:t>
            </w:r>
            <w:r>
              <w:rPr>
                <w:rFonts w:hint="eastAsia" w:ascii="Times New Roman" w:eastAsia="宋体"/>
                <w:highlight w:val="none"/>
                <w:vertAlign w:val="baseline"/>
                <w:lang w:val="en-US" w:eastAsia="zh-CN"/>
              </w:rPr>
              <w:t>有巡视时间安排合理措施及巡视资料上报准确性、及时措施</w:t>
            </w:r>
            <w:r>
              <w:rPr>
                <w:rFonts w:hint="eastAsia" w:eastAsia="宋体"/>
                <w:highlight w:val="none"/>
                <w:vertAlign w:val="baseline"/>
                <w:lang w:val="en-US" w:eastAsia="zh-CN"/>
              </w:rPr>
              <w:t>；</w:t>
            </w:r>
          </w:p>
          <w:p w14:paraId="4ACCBC53">
            <w:pPr>
              <w:spacing w:line="360" w:lineRule="auto"/>
              <w:rPr>
                <w:rFonts w:hint="eastAsia" w:eastAsia="宋体"/>
                <w:highlight w:val="none"/>
                <w:vertAlign w:val="baseline"/>
                <w:lang w:val="en-US" w:eastAsia="zh-CN"/>
              </w:rPr>
            </w:pPr>
            <w:r>
              <w:rPr>
                <w:rFonts w:hint="eastAsia" w:eastAsia="宋体"/>
                <w:highlight w:val="none"/>
                <w:vertAlign w:val="baseline"/>
                <w:lang w:val="en-US" w:eastAsia="zh-CN"/>
              </w:rPr>
              <w:t>（2）</w:t>
            </w:r>
            <w:r>
              <w:rPr>
                <w:rFonts w:hint="eastAsia" w:ascii="Times New Roman" w:eastAsia="宋体"/>
                <w:highlight w:val="none"/>
                <w:vertAlign w:val="baseline"/>
                <w:lang w:val="en-US" w:eastAsia="zh-CN"/>
              </w:rPr>
              <w:t>承诺绿地发生破坏侵占第一时间上报制度</w:t>
            </w:r>
            <w:r>
              <w:rPr>
                <w:rFonts w:hint="eastAsia" w:eastAsia="宋体"/>
                <w:highlight w:val="none"/>
                <w:vertAlign w:val="baseline"/>
                <w:lang w:val="en-US" w:eastAsia="zh-CN"/>
              </w:rPr>
              <w:t>；</w:t>
            </w:r>
          </w:p>
          <w:p w14:paraId="4338BBD5">
            <w:pPr>
              <w:spacing w:line="360" w:lineRule="auto"/>
              <w:rPr>
                <w:rFonts w:hint="eastAsia" w:eastAsia="宋体"/>
                <w:highlight w:val="none"/>
                <w:vertAlign w:val="baseline"/>
                <w:lang w:val="en-US" w:eastAsia="zh-CN"/>
              </w:rPr>
            </w:pPr>
            <w:r>
              <w:rPr>
                <w:rFonts w:hint="eastAsia" w:eastAsia="宋体"/>
                <w:highlight w:val="none"/>
                <w:vertAlign w:val="baseline"/>
                <w:lang w:val="en-US" w:eastAsia="zh-CN"/>
              </w:rPr>
              <w:t>（3）</w:t>
            </w:r>
            <w:r>
              <w:rPr>
                <w:rFonts w:hint="eastAsia" w:ascii="Times New Roman" w:eastAsia="宋体"/>
                <w:highlight w:val="none"/>
                <w:vertAlign w:val="baseline"/>
                <w:lang w:val="en-US" w:eastAsia="zh-CN"/>
              </w:rPr>
              <w:t>巡视资料上报准确性、及时措施</w:t>
            </w:r>
            <w:r>
              <w:rPr>
                <w:rFonts w:hint="eastAsia" w:eastAsia="宋体"/>
                <w:highlight w:val="none"/>
                <w:vertAlign w:val="baseline"/>
                <w:lang w:val="en-US" w:eastAsia="zh-CN"/>
              </w:rPr>
              <w:t>；</w:t>
            </w:r>
          </w:p>
          <w:p w14:paraId="3F0D5A45">
            <w:pPr>
              <w:spacing w:line="360" w:lineRule="auto"/>
              <w:rPr>
                <w:rFonts w:hint="eastAsia" w:eastAsia="宋体"/>
                <w:highlight w:val="none"/>
                <w:vertAlign w:val="baseline"/>
                <w:lang w:val="en-US" w:eastAsia="zh-CN"/>
              </w:rPr>
            </w:pPr>
            <w:r>
              <w:rPr>
                <w:rFonts w:hint="eastAsia" w:eastAsia="宋体"/>
                <w:highlight w:val="none"/>
                <w:vertAlign w:val="baseline"/>
                <w:lang w:val="en-US" w:eastAsia="zh-CN"/>
              </w:rPr>
              <w:t>1.</w:t>
            </w:r>
            <w:r>
              <w:rPr>
                <w:rFonts w:hint="eastAsia" w:ascii="Times New Roman" w:eastAsia="宋体"/>
                <w:highlight w:val="none"/>
                <w:vertAlign w:val="baseline"/>
                <w:lang w:val="en-US" w:eastAsia="zh-CN"/>
              </w:rPr>
              <w:t>考察以上内容，每满足任意一项内容得15%，最高得60%。</w:t>
            </w:r>
          </w:p>
          <w:p w14:paraId="3CFA35E7">
            <w:pPr>
              <w:spacing w:line="360" w:lineRule="auto"/>
              <w:rPr>
                <w:rFonts w:hint="eastAsia" w:eastAsia="宋体"/>
                <w:highlight w:val="none"/>
                <w:vertAlign w:val="baseline"/>
                <w:lang w:val="en-US" w:eastAsia="zh-CN"/>
              </w:rPr>
            </w:pPr>
            <w:r>
              <w:rPr>
                <w:rFonts w:hint="eastAsia" w:eastAsia="宋体"/>
                <w:highlight w:val="none"/>
                <w:vertAlign w:val="baseline"/>
                <w:lang w:val="en-US" w:eastAsia="zh-CN"/>
              </w:rPr>
              <w:t>2.在上述基础上，专家根据各投标人的具体响应内容按照量化的评审因素指标进一步评审。</w:t>
            </w:r>
          </w:p>
          <w:p w14:paraId="61E1C5A4">
            <w:pPr>
              <w:spacing w:line="360" w:lineRule="auto"/>
              <w:rPr>
                <w:rFonts w:hint="eastAsia" w:eastAsia="宋体"/>
                <w:highlight w:val="none"/>
                <w:vertAlign w:val="baseline"/>
                <w:lang w:val="en-US" w:eastAsia="zh-CN"/>
              </w:rPr>
            </w:pPr>
            <w:r>
              <w:rPr>
                <w:rFonts w:hint="eastAsia" w:eastAsia="宋体"/>
                <w:highlight w:val="none"/>
                <w:vertAlign w:val="baseline"/>
                <w:lang w:val="en-US" w:eastAsia="zh-CN"/>
              </w:rPr>
              <w:t>（1）方案整体科学合理、针对性强、可操作性强，评审为优加</w:t>
            </w:r>
            <w:r>
              <w:rPr>
                <w:rFonts w:hint="eastAsia"/>
                <w:highlight w:val="none"/>
                <w:vertAlign w:val="baseline"/>
                <w:lang w:val="en-US" w:eastAsia="zh-CN"/>
              </w:rPr>
              <w:t>4</w:t>
            </w:r>
            <w:r>
              <w:rPr>
                <w:rFonts w:hint="eastAsia" w:eastAsia="宋体"/>
                <w:highlight w:val="none"/>
                <w:vertAlign w:val="baseline"/>
                <w:lang w:val="en-US" w:eastAsia="zh-CN"/>
              </w:rPr>
              <w:t xml:space="preserve">0%； </w:t>
            </w:r>
          </w:p>
          <w:p w14:paraId="277AC3D2">
            <w:pPr>
              <w:spacing w:line="360" w:lineRule="auto"/>
              <w:rPr>
                <w:rFonts w:hint="eastAsia" w:eastAsia="宋体"/>
                <w:highlight w:val="none"/>
                <w:vertAlign w:val="baseline"/>
                <w:lang w:val="en-US" w:eastAsia="zh-CN"/>
              </w:rPr>
            </w:pPr>
            <w:r>
              <w:rPr>
                <w:rFonts w:hint="eastAsia" w:eastAsia="宋体"/>
                <w:highlight w:val="none"/>
                <w:vertAlign w:val="baseline"/>
                <w:lang w:val="en-US" w:eastAsia="zh-CN"/>
              </w:rPr>
              <w:t>（2）方案较合理、有一定针对性、一定可操作性，评审为良加</w:t>
            </w:r>
            <w:r>
              <w:rPr>
                <w:rFonts w:hint="eastAsia"/>
                <w:highlight w:val="none"/>
                <w:vertAlign w:val="baseline"/>
                <w:lang w:val="en-US" w:eastAsia="zh-CN"/>
              </w:rPr>
              <w:t>2</w:t>
            </w:r>
            <w:r>
              <w:rPr>
                <w:rFonts w:hint="eastAsia" w:eastAsia="宋体"/>
                <w:highlight w:val="none"/>
                <w:vertAlign w:val="baseline"/>
                <w:lang w:val="en-US" w:eastAsia="zh-CN"/>
              </w:rPr>
              <w:t>0%；</w:t>
            </w:r>
          </w:p>
          <w:p w14:paraId="146746C9">
            <w:pPr>
              <w:spacing w:line="360" w:lineRule="auto"/>
              <w:rPr>
                <w:rFonts w:hint="eastAsia" w:eastAsia="宋体"/>
                <w:highlight w:val="none"/>
                <w:vertAlign w:val="baseline"/>
                <w:lang w:val="en-US" w:eastAsia="zh-CN"/>
              </w:rPr>
            </w:pPr>
            <w:r>
              <w:rPr>
                <w:rFonts w:hint="eastAsia" w:eastAsia="宋体"/>
                <w:highlight w:val="none"/>
                <w:vertAlign w:val="baseline"/>
                <w:lang w:val="en-US" w:eastAsia="zh-CN"/>
              </w:rPr>
              <w:t xml:space="preserve">（3）方案不尽合理、针对性一般、可操作性一般，评审为中加5%； </w:t>
            </w:r>
          </w:p>
          <w:p w14:paraId="3D8A8DBC">
            <w:pPr>
              <w:spacing w:line="360" w:lineRule="auto"/>
              <w:rPr>
                <w:rFonts w:hint="eastAsia" w:ascii="宋体" w:hAnsi="宋体" w:eastAsia="宋体" w:cs="宋体"/>
                <w:color w:val="auto"/>
                <w:sz w:val="24"/>
                <w:szCs w:val="24"/>
                <w:highlight w:val="none"/>
                <w:lang w:val="en-US" w:eastAsia="zh-CN"/>
              </w:rPr>
            </w:pPr>
            <w:r>
              <w:rPr>
                <w:rFonts w:hint="eastAsia" w:eastAsia="宋体"/>
                <w:highlight w:val="none"/>
                <w:vertAlign w:val="baseline"/>
                <w:lang w:val="en-US" w:eastAsia="zh-CN"/>
              </w:rPr>
              <w:t>（4）方案不合理、无针对性、无可操作性，评审为差的，不加分。</w:t>
            </w:r>
          </w:p>
        </w:tc>
        <w:tc>
          <w:tcPr>
            <w:tcW w:w="957" w:type="dxa"/>
            <w:noWrap w:val="0"/>
            <w:vAlign w:val="center"/>
          </w:tcPr>
          <w:p w14:paraId="05954AD0">
            <w:pPr>
              <w:keepNext w:val="0"/>
              <w:keepLines w:val="0"/>
              <w:pageBreakBefore w:val="0"/>
              <w:spacing w:line="240" w:lineRule="auto"/>
              <w:ind w:lef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76BC0D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785" w:type="dxa"/>
            <w:noWrap w:val="0"/>
            <w:vAlign w:val="center"/>
          </w:tcPr>
          <w:p w14:paraId="4E7110A3">
            <w:pPr>
              <w:keepNext w:val="0"/>
              <w:keepLines w:val="0"/>
              <w:pageBreakBefore w:val="0"/>
              <w:tabs>
                <w:tab w:val="left" w:pos="426"/>
              </w:tabs>
              <w:spacing w:line="400" w:lineRule="exact"/>
              <w:jc w:val="center"/>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w:t>
            </w:r>
          </w:p>
        </w:tc>
        <w:tc>
          <w:tcPr>
            <w:tcW w:w="1698" w:type="dxa"/>
            <w:noWrap w:val="0"/>
            <w:vAlign w:val="center"/>
          </w:tcPr>
          <w:p w14:paraId="4AB90ADF">
            <w:pPr>
              <w:spacing w:line="360" w:lineRule="auto"/>
              <w:jc w:val="center"/>
              <w:rPr>
                <w:rFonts w:hint="eastAsia" w:ascii="宋体" w:hAnsi="宋体" w:eastAsia="宋体" w:cs="宋体"/>
                <w:color w:val="auto"/>
                <w:sz w:val="24"/>
                <w:szCs w:val="24"/>
                <w:highlight w:val="none"/>
                <w:lang w:val="en-US" w:eastAsia="zh-CN"/>
              </w:rPr>
            </w:pPr>
            <w:r>
              <w:rPr>
                <w:rFonts w:hint="eastAsia"/>
                <w:highlight w:val="none"/>
                <w:vertAlign w:val="baseline"/>
                <w:lang w:val="en-US" w:eastAsia="zh-CN"/>
              </w:rPr>
              <w:t>绿化废弃物处置</w:t>
            </w:r>
          </w:p>
        </w:tc>
        <w:tc>
          <w:tcPr>
            <w:tcW w:w="823" w:type="dxa"/>
            <w:noWrap w:val="0"/>
            <w:vAlign w:val="center"/>
          </w:tcPr>
          <w:p w14:paraId="49922761">
            <w:pPr>
              <w:spacing w:line="360" w:lineRule="auto"/>
              <w:jc w:val="center"/>
              <w:rPr>
                <w:rFonts w:hint="default" w:ascii="宋体" w:hAnsi="宋体" w:eastAsia="宋体" w:cs="宋体"/>
                <w:color w:val="auto"/>
                <w:sz w:val="24"/>
                <w:szCs w:val="24"/>
                <w:highlight w:val="none"/>
                <w:lang w:val="en-US" w:eastAsia="zh-CN"/>
              </w:rPr>
            </w:pPr>
            <w:r>
              <w:rPr>
                <w:rFonts w:hint="eastAsia"/>
                <w:highlight w:val="none"/>
                <w:vertAlign w:val="baseline"/>
                <w:lang w:val="en-US" w:eastAsia="zh-CN"/>
              </w:rPr>
              <w:t>6</w:t>
            </w:r>
          </w:p>
        </w:tc>
        <w:tc>
          <w:tcPr>
            <w:tcW w:w="6593" w:type="dxa"/>
            <w:noWrap w:val="0"/>
            <w:vAlign w:val="top"/>
          </w:tcPr>
          <w:p w14:paraId="0BD242B1">
            <w:pPr>
              <w:spacing w:line="360" w:lineRule="auto"/>
              <w:rPr>
                <w:rFonts w:hint="eastAsia" w:eastAsia="宋体"/>
                <w:highlight w:val="none"/>
                <w:vertAlign w:val="baseline"/>
                <w:lang w:val="en-US" w:eastAsia="zh-CN"/>
              </w:rPr>
            </w:pPr>
            <w:r>
              <w:rPr>
                <w:rFonts w:hint="eastAsia" w:eastAsia="宋体"/>
                <w:highlight w:val="none"/>
                <w:vertAlign w:val="baseline"/>
                <w:lang w:val="en-US" w:eastAsia="zh-CN"/>
              </w:rPr>
              <w:t>（一）评分内容 ：投标人提供的</w:t>
            </w:r>
            <w:r>
              <w:rPr>
                <w:rFonts w:hint="eastAsia" w:ascii="Times New Roman" w:eastAsia="宋体"/>
                <w:highlight w:val="none"/>
                <w:vertAlign w:val="baseline"/>
                <w:lang w:val="en-US" w:eastAsia="zh-CN"/>
              </w:rPr>
              <w:t>绿化废弃物处置方案</w:t>
            </w:r>
            <w:r>
              <w:rPr>
                <w:rFonts w:hint="eastAsia" w:eastAsia="宋体"/>
                <w:highlight w:val="none"/>
                <w:vertAlign w:val="baseline"/>
                <w:lang w:val="en-US" w:eastAsia="zh-CN"/>
              </w:rPr>
              <w:t>包含但不限于以下内容：</w:t>
            </w:r>
          </w:p>
          <w:p w14:paraId="546C90EF">
            <w:pPr>
              <w:spacing w:line="360" w:lineRule="auto"/>
              <w:rPr>
                <w:rFonts w:hint="eastAsia" w:eastAsia="宋体"/>
                <w:highlight w:val="none"/>
                <w:vertAlign w:val="baseline"/>
                <w:lang w:val="en-US" w:eastAsia="zh-CN"/>
              </w:rPr>
            </w:pPr>
            <w:r>
              <w:rPr>
                <w:rFonts w:hint="eastAsia" w:eastAsia="宋体"/>
                <w:highlight w:val="none"/>
                <w:vertAlign w:val="baseline"/>
                <w:lang w:val="en-US" w:eastAsia="zh-CN"/>
              </w:rPr>
              <w:t>（1）</w:t>
            </w:r>
            <w:r>
              <w:rPr>
                <w:rFonts w:hint="eastAsia" w:ascii="Times New Roman" w:eastAsia="宋体"/>
                <w:highlight w:val="none"/>
                <w:vertAlign w:val="baseline"/>
                <w:lang w:val="en-US" w:eastAsia="zh-CN"/>
              </w:rPr>
              <w:t>有树枝</w:t>
            </w:r>
            <w:r>
              <w:rPr>
                <w:rFonts w:hint="eastAsia" w:eastAsia="宋体"/>
                <w:highlight w:val="none"/>
                <w:vertAlign w:val="baseline"/>
                <w:lang w:val="en-US" w:eastAsia="zh-CN"/>
              </w:rPr>
              <w:t>、树叶等</w:t>
            </w:r>
            <w:r>
              <w:rPr>
                <w:rFonts w:hint="eastAsia" w:ascii="Times New Roman" w:eastAsia="宋体"/>
                <w:highlight w:val="none"/>
                <w:vertAlign w:val="baseline"/>
                <w:lang w:val="en-US" w:eastAsia="zh-CN"/>
              </w:rPr>
              <w:t>废弃物处置方案</w:t>
            </w:r>
            <w:r>
              <w:rPr>
                <w:rFonts w:hint="eastAsia" w:eastAsia="宋体"/>
                <w:highlight w:val="none"/>
                <w:vertAlign w:val="baseline"/>
                <w:lang w:val="en-US" w:eastAsia="zh-CN"/>
              </w:rPr>
              <w:t>；</w:t>
            </w:r>
          </w:p>
          <w:p w14:paraId="1C3AC03A">
            <w:pPr>
              <w:spacing w:line="360" w:lineRule="auto"/>
              <w:rPr>
                <w:rFonts w:hint="eastAsia" w:eastAsia="宋体"/>
                <w:highlight w:val="none"/>
                <w:vertAlign w:val="baseline"/>
                <w:lang w:val="en-US" w:eastAsia="zh-CN"/>
              </w:rPr>
            </w:pPr>
            <w:r>
              <w:rPr>
                <w:rFonts w:hint="eastAsia" w:eastAsia="宋体"/>
                <w:highlight w:val="none"/>
                <w:vertAlign w:val="baseline"/>
                <w:lang w:val="en-US" w:eastAsia="zh-CN"/>
              </w:rPr>
              <w:t>（2）</w:t>
            </w:r>
            <w:r>
              <w:rPr>
                <w:rFonts w:hint="eastAsia" w:ascii="Times New Roman" w:eastAsia="宋体"/>
                <w:highlight w:val="none"/>
                <w:vertAlign w:val="baseline"/>
                <w:lang w:val="en-US" w:eastAsia="zh-CN"/>
              </w:rPr>
              <w:t>有</w:t>
            </w:r>
            <w:r>
              <w:rPr>
                <w:rFonts w:hint="eastAsia" w:eastAsia="宋体"/>
                <w:highlight w:val="none"/>
                <w:vertAlign w:val="baseline"/>
                <w:lang w:val="en-US" w:eastAsia="zh-CN"/>
              </w:rPr>
              <w:t>其他绿化</w:t>
            </w:r>
            <w:r>
              <w:rPr>
                <w:rFonts w:hint="eastAsia" w:ascii="Times New Roman" w:eastAsia="宋体"/>
                <w:highlight w:val="none"/>
                <w:vertAlign w:val="baseline"/>
                <w:lang w:val="en-US" w:eastAsia="zh-CN"/>
              </w:rPr>
              <w:t>废弃物处置方案</w:t>
            </w:r>
            <w:r>
              <w:rPr>
                <w:rFonts w:hint="eastAsia" w:eastAsia="宋体"/>
                <w:highlight w:val="none"/>
                <w:vertAlign w:val="baseline"/>
                <w:lang w:val="en-US" w:eastAsia="zh-CN"/>
              </w:rPr>
              <w:t>；</w:t>
            </w:r>
          </w:p>
          <w:p w14:paraId="09DF737F">
            <w:pPr>
              <w:spacing w:line="360" w:lineRule="auto"/>
              <w:rPr>
                <w:rFonts w:hint="eastAsia" w:eastAsia="宋体"/>
                <w:highlight w:val="none"/>
                <w:vertAlign w:val="baseline"/>
                <w:lang w:val="en-US" w:eastAsia="zh-CN"/>
              </w:rPr>
            </w:pPr>
            <w:r>
              <w:rPr>
                <w:rFonts w:hint="eastAsia" w:eastAsia="宋体"/>
                <w:highlight w:val="none"/>
                <w:vertAlign w:val="baseline"/>
                <w:lang w:val="en-US" w:eastAsia="zh-CN"/>
              </w:rPr>
              <w:t>1.考察以上内容，每满足任意一项内容得</w:t>
            </w:r>
            <w:r>
              <w:rPr>
                <w:rFonts w:hint="eastAsia"/>
                <w:highlight w:val="none"/>
                <w:vertAlign w:val="baseline"/>
                <w:lang w:val="en-US" w:eastAsia="zh-CN"/>
              </w:rPr>
              <w:t>3</w:t>
            </w:r>
            <w:r>
              <w:rPr>
                <w:rFonts w:hint="eastAsia" w:eastAsia="宋体"/>
                <w:highlight w:val="none"/>
                <w:vertAlign w:val="baseline"/>
                <w:lang w:val="en-US" w:eastAsia="zh-CN"/>
              </w:rPr>
              <w:t>0%，最高得</w:t>
            </w:r>
            <w:r>
              <w:rPr>
                <w:rFonts w:hint="eastAsia"/>
                <w:highlight w:val="none"/>
                <w:vertAlign w:val="baseline"/>
                <w:lang w:val="en-US" w:eastAsia="zh-CN"/>
              </w:rPr>
              <w:t>6</w:t>
            </w:r>
            <w:r>
              <w:rPr>
                <w:rFonts w:hint="eastAsia" w:eastAsia="宋体"/>
                <w:highlight w:val="none"/>
                <w:vertAlign w:val="baseline"/>
                <w:lang w:val="en-US" w:eastAsia="zh-CN"/>
              </w:rPr>
              <w:t>0%。</w:t>
            </w:r>
          </w:p>
          <w:p w14:paraId="1A33C389">
            <w:pPr>
              <w:spacing w:line="360" w:lineRule="auto"/>
              <w:rPr>
                <w:rFonts w:hint="eastAsia" w:eastAsia="宋体"/>
                <w:highlight w:val="none"/>
                <w:vertAlign w:val="baseline"/>
                <w:lang w:val="en-US" w:eastAsia="zh-CN"/>
              </w:rPr>
            </w:pPr>
            <w:r>
              <w:rPr>
                <w:rFonts w:hint="eastAsia" w:eastAsia="宋体"/>
                <w:highlight w:val="none"/>
                <w:vertAlign w:val="baseline"/>
                <w:lang w:val="en-US" w:eastAsia="zh-CN"/>
              </w:rPr>
              <w:t>2.在上述基础上，专家根据各投标人的具体响应内容按照量化的评审因素指标进一步评审。</w:t>
            </w:r>
          </w:p>
          <w:p w14:paraId="6A2BA47E">
            <w:pPr>
              <w:spacing w:line="360" w:lineRule="auto"/>
              <w:rPr>
                <w:rFonts w:hint="eastAsia" w:eastAsia="宋体"/>
                <w:highlight w:val="none"/>
                <w:vertAlign w:val="baseline"/>
                <w:lang w:val="en-US" w:eastAsia="zh-CN"/>
              </w:rPr>
            </w:pPr>
            <w:r>
              <w:rPr>
                <w:rFonts w:hint="eastAsia" w:eastAsia="宋体"/>
                <w:highlight w:val="none"/>
                <w:vertAlign w:val="baseline"/>
                <w:lang w:val="en-US" w:eastAsia="zh-CN"/>
              </w:rPr>
              <w:t>（1）方案整体科学合理、针对性强、可操作性强，评审为优加</w:t>
            </w:r>
            <w:r>
              <w:rPr>
                <w:rFonts w:hint="eastAsia"/>
                <w:highlight w:val="none"/>
                <w:vertAlign w:val="baseline"/>
                <w:lang w:val="en-US" w:eastAsia="zh-CN"/>
              </w:rPr>
              <w:t>4</w:t>
            </w:r>
            <w:r>
              <w:rPr>
                <w:rFonts w:hint="eastAsia" w:eastAsia="宋体"/>
                <w:highlight w:val="none"/>
                <w:vertAlign w:val="baseline"/>
                <w:lang w:val="en-US" w:eastAsia="zh-CN"/>
              </w:rPr>
              <w:t xml:space="preserve">0%； </w:t>
            </w:r>
          </w:p>
          <w:p w14:paraId="61EC4DE9">
            <w:pPr>
              <w:spacing w:line="360" w:lineRule="auto"/>
              <w:rPr>
                <w:rFonts w:hint="eastAsia" w:eastAsia="宋体"/>
                <w:highlight w:val="none"/>
                <w:vertAlign w:val="baseline"/>
                <w:lang w:val="en-US" w:eastAsia="zh-CN"/>
              </w:rPr>
            </w:pPr>
            <w:r>
              <w:rPr>
                <w:rFonts w:hint="eastAsia" w:eastAsia="宋体"/>
                <w:highlight w:val="none"/>
                <w:vertAlign w:val="baseline"/>
                <w:lang w:val="en-US" w:eastAsia="zh-CN"/>
              </w:rPr>
              <w:t>（2）方案较合理、有一定针对性、一定可操作性，评审为良加</w:t>
            </w:r>
            <w:r>
              <w:rPr>
                <w:rFonts w:hint="eastAsia"/>
                <w:highlight w:val="none"/>
                <w:vertAlign w:val="baseline"/>
                <w:lang w:val="en-US" w:eastAsia="zh-CN"/>
              </w:rPr>
              <w:t>2</w:t>
            </w:r>
            <w:r>
              <w:rPr>
                <w:rFonts w:hint="eastAsia" w:eastAsia="宋体"/>
                <w:highlight w:val="none"/>
                <w:vertAlign w:val="baseline"/>
                <w:lang w:val="en-US" w:eastAsia="zh-CN"/>
              </w:rPr>
              <w:t>0%；</w:t>
            </w:r>
          </w:p>
          <w:p w14:paraId="244C1D03">
            <w:pPr>
              <w:spacing w:line="360" w:lineRule="auto"/>
              <w:rPr>
                <w:rFonts w:hint="eastAsia" w:eastAsia="宋体"/>
                <w:highlight w:val="none"/>
                <w:vertAlign w:val="baseline"/>
                <w:lang w:val="en-US" w:eastAsia="zh-CN"/>
              </w:rPr>
            </w:pPr>
            <w:r>
              <w:rPr>
                <w:rFonts w:hint="eastAsia" w:eastAsia="宋体"/>
                <w:highlight w:val="none"/>
                <w:vertAlign w:val="baseline"/>
                <w:lang w:val="en-US" w:eastAsia="zh-CN"/>
              </w:rPr>
              <w:t xml:space="preserve">（3）方案不尽合理、针对性一般、可操作性一般，评审为中加5%； </w:t>
            </w:r>
          </w:p>
          <w:p w14:paraId="4F22148A">
            <w:pPr>
              <w:spacing w:line="360" w:lineRule="auto"/>
              <w:rPr>
                <w:rFonts w:hint="eastAsia" w:ascii="宋体" w:hAnsi="宋体" w:eastAsia="宋体" w:cs="宋体"/>
                <w:color w:val="auto"/>
                <w:sz w:val="24"/>
                <w:szCs w:val="24"/>
                <w:highlight w:val="none"/>
                <w:lang w:val="en-US" w:eastAsia="zh-CN"/>
              </w:rPr>
            </w:pPr>
            <w:r>
              <w:rPr>
                <w:rFonts w:hint="eastAsia" w:eastAsia="宋体"/>
                <w:highlight w:val="none"/>
                <w:vertAlign w:val="baseline"/>
                <w:lang w:val="en-US" w:eastAsia="zh-CN"/>
              </w:rPr>
              <w:t>（4）方案不合理、无针对性、无可操作性，评审为差的，不加分。</w:t>
            </w:r>
          </w:p>
        </w:tc>
        <w:tc>
          <w:tcPr>
            <w:tcW w:w="957" w:type="dxa"/>
            <w:noWrap w:val="0"/>
            <w:vAlign w:val="center"/>
          </w:tcPr>
          <w:p w14:paraId="16C23C5F">
            <w:pPr>
              <w:keepNext w:val="0"/>
              <w:keepLines w:val="0"/>
              <w:pageBreakBefore w:val="0"/>
              <w:spacing w:line="240" w:lineRule="auto"/>
              <w:ind w:lef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5D1311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785" w:type="dxa"/>
            <w:noWrap w:val="0"/>
            <w:vAlign w:val="center"/>
          </w:tcPr>
          <w:p w14:paraId="0B49B037">
            <w:pPr>
              <w:keepNext w:val="0"/>
              <w:keepLines w:val="0"/>
              <w:pageBreakBefore w:val="0"/>
              <w:tabs>
                <w:tab w:val="left" w:pos="426"/>
              </w:tabs>
              <w:spacing w:line="400" w:lineRule="exact"/>
              <w:jc w:val="center"/>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2.7</w:t>
            </w:r>
          </w:p>
        </w:tc>
        <w:tc>
          <w:tcPr>
            <w:tcW w:w="1698" w:type="dxa"/>
            <w:noWrap w:val="0"/>
            <w:vAlign w:val="center"/>
          </w:tcPr>
          <w:p w14:paraId="1C3442E5">
            <w:pPr>
              <w:spacing w:line="360" w:lineRule="auto"/>
              <w:jc w:val="center"/>
              <w:rPr>
                <w:rFonts w:hint="eastAsia" w:ascii="宋体" w:hAnsi="宋体" w:eastAsia="宋体" w:cs="宋体"/>
                <w:color w:val="auto"/>
                <w:sz w:val="24"/>
                <w:szCs w:val="24"/>
                <w:highlight w:val="none"/>
                <w:lang w:val="en-US" w:eastAsia="zh-CN"/>
              </w:rPr>
            </w:pPr>
            <w:r>
              <w:rPr>
                <w:rFonts w:hint="eastAsia"/>
                <w:highlight w:val="none"/>
                <w:vertAlign w:val="baseline"/>
                <w:lang w:val="en-US" w:eastAsia="zh-CN"/>
              </w:rPr>
              <w:t>安全、文明管养措施</w:t>
            </w:r>
          </w:p>
        </w:tc>
        <w:tc>
          <w:tcPr>
            <w:tcW w:w="823" w:type="dxa"/>
            <w:noWrap w:val="0"/>
            <w:vAlign w:val="center"/>
          </w:tcPr>
          <w:p w14:paraId="2B6ED608">
            <w:pPr>
              <w:spacing w:line="360" w:lineRule="auto"/>
              <w:jc w:val="center"/>
              <w:rPr>
                <w:rFonts w:hint="eastAsia" w:ascii="宋体" w:hAnsi="宋体" w:cs="宋体"/>
                <w:color w:val="auto"/>
                <w:sz w:val="24"/>
                <w:szCs w:val="24"/>
                <w:highlight w:val="none"/>
                <w:lang w:val="en-US" w:eastAsia="zh-CN"/>
              </w:rPr>
            </w:pPr>
            <w:r>
              <w:rPr>
                <w:rFonts w:hint="eastAsia"/>
                <w:highlight w:val="none"/>
                <w:vertAlign w:val="baseline"/>
                <w:lang w:val="en-US" w:eastAsia="zh-CN"/>
              </w:rPr>
              <w:t>6</w:t>
            </w:r>
          </w:p>
        </w:tc>
        <w:tc>
          <w:tcPr>
            <w:tcW w:w="6593" w:type="dxa"/>
            <w:noWrap w:val="0"/>
            <w:vAlign w:val="top"/>
          </w:tcPr>
          <w:p w14:paraId="3B1ADCB7">
            <w:pPr>
              <w:spacing w:line="360" w:lineRule="auto"/>
              <w:rPr>
                <w:rFonts w:hint="eastAsia" w:eastAsia="宋体"/>
                <w:highlight w:val="none"/>
                <w:vertAlign w:val="baseline"/>
                <w:lang w:val="en-US" w:eastAsia="zh-CN"/>
              </w:rPr>
            </w:pPr>
            <w:r>
              <w:rPr>
                <w:rFonts w:hint="eastAsia" w:eastAsia="宋体"/>
                <w:highlight w:val="none"/>
                <w:vertAlign w:val="baseline"/>
                <w:lang w:val="en-US" w:eastAsia="zh-CN"/>
              </w:rPr>
              <w:t>（一）评分内容 ：投标人提供的</w:t>
            </w:r>
            <w:r>
              <w:rPr>
                <w:rFonts w:hint="eastAsia" w:ascii="Times New Roman" w:eastAsia="宋体"/>
                <w:highlight w:val="none"/>
                <w:vertAlign w:val="baseline"/>
                <w:lang w:val="en-US" w:eastAsia="zh-CN"/>
              </w:rPr>
              <w:t>安全、文明管养措施方案</w:t>
            </w:r>
            <w:r>
              <w:rPr>
                <w:rFonts w:hint="eastAsia" w:eastAsia="宋体"/>
                <w:highlight w:val="none"/>
                <w:vertAlign w:val="baseline"/>
                <w:lang w:val="en-US" w:eastAsia="zh-CN"/>
              </w:rPr>
              <w:t>包含但不限于以下内容：</w:t>
            </w:r>
          </w:p>
          <w:p w14:paraId="7F094F7C">
            <w:pPr>
              <w:spacing w:line="360" w:lineRule="auto"/>
              <w:rPr>
                <w:rFonts w:hint="eastAsia" w:eastAsia="宋体"/>
                <w:highlight w:val="none"/>
                <w:vertAlign w:val="baseline"/>
                <w:lang w:val="en-US" w:eastAsia="zh-CN"/>
              </w:rPr>
            </w:pPr>
            <w:r>
              <w:rPr>
                <w:rFonts w:hint="eastAsia" w:eastAsia="宋体"/>
                <w:highlight w:val="none"/>
                <w:vertAlign w:val="baseline"/>
                <w:lang w:val="en-US" w:eastAsia="zh-CN"/>
              </w:rPr>
              <w:t>（1）</w:t>
            </w:r>
            <w:r>
              <w:rPr>
                <w:rFonts w:hint="eastAsia" w:ascii="Times New Roman" w:eastAsia="宋体"/>
                <w:highlight w:val="none"/>
                <w:vertAlign w:val="baseline"/>
                <w:lang w:val="en-US" w:eastAsia="zh-CN"/>
              </w:rPr>
              <w:t>有安全、文明管养措施</w:t>
            </w:r>
            <w:r>
              <w:rPr>
                <w:rFonts w:hint="eastAsia" w:eastAsia="宋体"/>
                <w:highlight w:val="none"/>
                <w:vertAlign w:val="baseline"/>
                <w:lang w:val="en-US" w:eastAsia="zh-CN"/>
              </w:rPr>
              <w:t>；</w:t>
            </w:r>
          </w:p>
          <w:p w14:paraId="4B1A84A7">
            <w:pPr>
              <w:spacing w:line="360" w:lineRule="auto"/>
              <w:rPr>
                <w:rFonts w:hint="eastAsia" w:eastAsia="宋体"/>
                <w:highlight w:val="none"/>
                <w:vertAlign w:val="baseline"/>
                <w:lang w:val="en-US" w:eastAsia="zh-CN"/>
              </w:rPr>
            </w:pPr>
            <w:r>
              <w:rPr>
                <w:rFonts w:hint="eastAsia" w:eastAsia="宋体"/>
                <w:highlight w:val="none"/>
                <w:vertAlign w:val="baseline"/>
                <w:lang w:val="en-US" w:eastAsia="zh-CN"/>
              </w:rPr>
              <w:t>（2）</w:t>
            </w:r>
            <w:r>
              <w:rPr>
                <w:rFonts w:hint="eastAsia" w:ascii="Times New Roman" w:eastAsia="宋体"/>
                <w:highlight w:val="none"/>
                <w:vertAlign w:val="baseline"/>
                <w:lang w:val="en-US" w:eastAsia="zh-CN"/>
              </w:rPr>
              <w:t>统一着装计划</w:t>
            </w:r>
            <w:r>
              <w:rPr>
                <w:rFonts w:hint="eastAsia" w:eastAsia="宋体"/>
                <w:highlight w:val="none"/>
                <w:vertAlign w:val="baseline"/>
                <w:lang w:val="en-US" w:eastAsia="zh-CN"/>
              </w:rPr>
              <w:t>；</w:t>
            </w:r>
          </w:p>
          <w:p w14:paraId="405CF2A0">
            <w:pPr>
              <w:spacing w:line="360" w:lineRule="auto"/>
              <w:rPr>
                <w:rFonts w:hint="eastAsia" w:eastAsia="宋体"/>
                <w:highlight w:val="none"/>
                <w:vertAlign w:val="baseline"/>
                <w:lang w:val="en-US" w:eastAsia="zh-CN"/>
              </w:rPr>
            </w:pPr>
            <w:r>
              <w:rPr>
                <w:rFonts w:hint="eastAsia" w:eastAsia="宋体"/>
                <w:highlight w:val="none"/>
                <w:vertAlign w:val="baseline"/>
                <w:lang w:val="en-US" w:eastAsia="zh-CN"/>
              </w:rPr>
              <w:t>1.考察以上内容，每满足任意一项内容得</w:t>
            </w:r>
            <w:r>
              <w:rPr>
                <w:rFonts w:hint="eastAsia"/>
                <w:highlight w:val="none"/>
                <w:vertAlign w:val="baseline"/>
                <w:lang w:val="en-US" w:eastAsia="zh-CN"/>
              </w:rPr>
              <w:t>3</w:t>
            </w:r>
            <w:r>
              <w:rPr>
                <w:rFonts w:hint="eastAsia" w:eastAsia="宋体"/>
                <w:highlight w:val="none"/>
                <w:vertAlign w:val="baseline"/>
                <w:lang w:val="en-US" w:eastAsia="zh-CN"/>
              </w:rPr>
              <w:t>0%，最高得</w:t>
            </w:r>
            <w:r>
              <w:rPr>
                <w:rFonts w:hint="eastAsia"/>
                <w:highlight w:val="none"/>
                <w:vertAlign w:val="baseline"/>
                <w:lang w:val="en-US" w:eastAsia="zh-CN"/>
              </w:rPr>
              <w:t>6</w:t>
            </w:r>
            <w:r>
              <w:rPr>
                <w:rFonts w:hint="eastAsia" w:eastAsia="宋体"/>
                <w:highlight w:val="none"/>
                <w:vertAlign w:val="baseline"/>
                <w:lang w:val="en-US" w:eastAsia="zh-CN"/>
              </w:rPr>
              <w:t>0%。</w:t>
            </w:r>
          </w:p>
          <w:p w14:paraId="6C01517F">
            <w:pPr>
              <w:spacing w:line="360" w:lineRule="auto"/>
              <w:rPr>
                <w:rFonts w:hint="eastAsia" w:eastAsia="宋体"/>
                <w:highlight w:val="none"/>
                <w:vertAlign w:val="baseline"/>
                <w:lang w:val="en-US" w:eastAsia="zh-CN"/>
              </w:rPr>
            </w:pPr>
            <w:r>
              <w:rPr>
                <w:rFonts w:hint="eastAsia" w:eastAsia="宋体"/>
                <w:highlight w:val="none"/>
                <w:vertAlign w:val="baseline"/>
                <w:lang w:val="en-US" w:eastAsia="zh-CN"/>
              </w:rPr>
              <w:t>2.在上述基础上，专家根据各投标人的具体响应内容按照量化的评审因素指标进一步评审。</w:t>
            </w:r>
          </w:p>
          <w:p w14:paraId="52FAF74F">
            <w:pPr>
              <w:spacing w:line="360" w:lineRule="auto"/>
              <w:rPr>
                <w:rFonts w:hint="eastAsia" w:eastAsia="宋体"/>
                <w:highlight w:val="none"/>
                <w:vertAlign w:val="baseline"/>
                <w:lang w:val="en-US" w:eastAsia="zh-CN"/>
              </w:rPr>
            </w:pPr>
            <w:r>
              <w:rPr>
                <w:rFonts w:hint="eastAsia" w:eastAsia="宋体"/>
                <w:highlight w:val="none"/>
                <w:vertAlign w:val="baseline"/>
                <w:lang w:val="en-US" w:eastAsia="zh-CN"/>
              </w:rPr>
              <w:t>（1）方案整体科学合理、针对性强、可操作性强，评审为优加</w:t>
            </w:r>
            <w:r>
              <w:rPr>
                <w:rFonts w:hint="eastAsia"/>
                <w:highlight w:val="none"/>
                <w:vertAlign w:val="baseline"/>
                <w:lang w:val="en-US" w:eastAsia="zh-CN"/>
              </w:rPr>
              <w:t>4</w:t>
            </w:r>
            <w:r>
              <w:rPr>
                <w:rFonts w:hint="eastAsia" w:eastAsia="宋体"/>
                <w:highlight w:val="none"/>
                <w:vertAlign w:val="baseline"/>
                <w:lang w:val="en-US" w:eastAsia="zh-CN"/>
              </w:rPr>
              <w:t xml:space="preserve">0%； </w:t>
            </w:r>
          </w:p>
          <w:p w14:paraId="7D6B72C1">
            <w:pPr>
              <w:spacing w:line="360" w:lineRule="auto"/>
              <w:rPr>
                <w:rFonts w:hint="eastAsia" w:eastAsia="宋体"/>
                <w:highlight w:val="none"/>
                <w:vertAlign w:val="baseline"/>
                <w:lang w:val="en-US" w:eastAsia="zh-CN"/>
              </w:rPr>
            </w:pPr>
            <w:r>
              <w:rPr>
                <w:rFonts w:hint="eastAsia" w:eastAsia="宋体"/>
                <w:highlight w:val="none"/>
                <w:vertAlign w:val="baseline"/>
                <w:lang w:val="en-US" w:eastAsia="zh-CN"/>
              </w:rPr>
              <w:t>（2）方案较合理、有一定针对性、一定可操作性，评审为良加</w:t>
            </w:r>
            <w:r>
              <w:rPr>
                <w:rFonts w:hint="eastAsia"/>
                <w:highlight w:val="none"/>
                <w:vertAlign w:val="baseline"/>
                <w:lang w:val="en-US" w:eastAsia="zh-CN"/>
              </w:rPr>
              <w:t>2</w:t>
            </w:r>
            <w:r>
              <w:rPr>
                <w:rFonts w:hint="eastAsia" w:eastAsia="宋体"/>
                <w:highlight w:val="none"/>
                <w:vertAlign w:val="baseline"/>
                <w:lang w:val="en-US" w:eastAsia="zh-CN"/>
              </w:rPr>
              <w:t>0%；</w:t>
            </w:r>
          </w:p>
          <w:p w14:paraId="456ABB2C">
            <w:pPr>
              <w:spacing w:line="360" w:lineRule="auto"/>
              <w:rPr>
                <w:rFonts w:hint="eastAsia" w:eastAsia="宋体"/>
                <w:highlight w:val="none"/>
                <w:vertAlign w:val="baseline"/>
                <w:lang w:val="en-US" w:eastAsia="zh-CN"/>
              </w:rPr>
            </w:pPr>
            <w:r>
              <w:rPr>
                <w:rFonts w:hint="eastAsia" w:eastAsia="宋体"/>
                <w:highlight w:val="none"/>
                <w:vertAlign w:val="baseline"/>
                <w:lang w:val="en-US" w:eastAsia="zh-CN"/>
              </w:rPr>
              <w:t xml:space="preserve">（3）方案不尽合理、针对性一般、可操作性一般，评审为中加5%； </w:t>
            </w:r>
          </w:p>
          <w:p w14:paraId="7E74C96B">
            <w:pPr>
              <w:spacing w:line="360" w:lineRule="auto"/>
              <w:rPr>
                <w:rFonts w:hint="eastAsia" w:ascii="宋体" w:hAnsi="宋体" w:cs="宋体"/>
                <w:color w:val="auto"/>
                <w:sz w:val="24"/>
                <w:szCs w:val="24"/>
                <w:highlight w:val="none"/>
                <w:lang w:val="en-US" w:eastAsia="zh-CN"/>
              </w:rPr>
            </w:pPr>
            <w:r>
              <w:rPr>
                <w:rFonts w:hint="eastAsia" w:eastAsia="宋体"/>
                <w:highlight w:val="none"/>
                <w:vertAlign w:val="baseline"/>
                <w:lang w:val="en-US" w:eastAsia="zh-CN"/>
              </w:rPr>
              <w:t>（4）方案不合理、无针对性、无可操作性，评审为差的，不加分。</w:t>
            </w:r>
          </w:p>
        </w:tc>
        <w:tc>
          <w:tcPr>
            <w:tcW w:w="957" w:type="dxa"/>
            <w:noWrap w:val="0"/>
            <w:vAlign w:val="center"/>
          </w:tcPr>
          <w:p w14:paraId="3DFBCF06">
            <w:pPr>
              <w:keepNext w:val="0"/>
              <w:keepLines w:val="0"/>
              <w:pageBreakBefore w:val="0"/>
              <w:spacing w:line="240" w:lineRule="auto"/>
              <w:ind w:lef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23CBAB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5" w:type="dxa"/>
            <w:noWrap w:val="0"/>
            <w:vAlign w:val="center"/>
          </w:tcPr>
          <w:p w14:paraId="6A28C4C3">
            <w:pPr>
              <w:keepNext w:val="0"/>
              <w:keepLines w:val="0"/>
              <w:pageBreakBefore w:val="0"/>
              <w:tabs>
                <w:tab w:val="left" w:pos="426"/>
              </w:tabs>
              <w:spacing w:line="400" w:lineRule="exact"/>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698" w:type="dxa"/>
            <w:noWrap w:val="0"/>
            <w:vAlign w:val="center"/>
          </w:tcPr>
          <w:p w14:paraId="003ACD12">
            <w:pPr>
              <w:keepNext w:val="0"/>
              <w:keepLines w:val="0"/>
              <w:pageBreakBefore w:val="0"/>
              <w:tabs>
                <w:tab w:val="left" w:pos="426"/>
              </w:tabs>
              <w:spacing w:line="400" w:lineRule="exact"/>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客观分</w:t>
            </w:r>
          </w:p>
        </w:tc>
        <w:tc>
          <w:tcPr>
            <w:tcW w:w="823" w:type="dxa"/>
            <w:noWrap w:val="0"/>
            <w:vAlign w:val="center"/>
          </w:tcPr>
          <w:p w14:paraId="60B7117F">
            <w:pPr>
              <w:keepNext w:val="0"/>
              <w:keepLines w:val="0"/>
              <w:pageBreakBefore w:val="0"/>
              <w:tabs>
                <w:tab w:val="left" w:pos="426"/>
              </w:tabs>
              <w:spacing w:line="400" w:lineRule="exact"/>
              <w:jc w:val="center"/>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40</w:t>
            </w:r>
          </w:p>
        </w:tc>
        <w:tc>
          <w:tcPr>
            <w:tcW w:w="6593" w:type="dxa"/>
            <w:noWrap w:val="0"/>
            <w:vAlign w:val="center"/>
          </w:tcPr>
          <w:p w14:paraId="60AE8DC0">
            <w:pPr>
              <w:keepNext w:val="0"/>
              <w:keepLines w:val="0"/>
              <w:pageBreakBefore w:val="0"/>
              <w:spacing w:line="240" w:lineRule="auto"/>
              <w:ind w:lef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57" w:type="dxa"/>
            <w:noWrap w:val="0"/>
            <w:vAlign w:val="center"/>
          </w:tcPr>
          <w:p w14:paraId="4C8CEC6A">
            <w:pPr>
              <w:keepNext w:val="0"/>
              <w:keepLines w:val="0"/>
              <w:pageBreakBefore w:val="0"/>
              <w:spacing w:line="240" w:lineRule="auto"/>
              <w:ind w:lef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150BF4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07" w:hRule="atLeast"/>
          <w:jc w:val="center"/>
        </w:trPr>
        <w:tc>
          <w:tcPr>
            <w:tcW w:w="785" w:type="dxa"/>
            <w:noWrap w:val="0"/>
            <w:vAlign w:val="center"/>
          </w:tcPr>
          <w:p w14:paraId="5F0A3AE9">
            <w:pPr>
              <w:keepNext w:val="0"/>
              <w:keepLines w:val="0"/>
              <w:pageBreakBefore w:val="0"/>
              <w:tabs>
                <w:tab w:val="left" w:pos="426"/>
              </w:tabs>
              <w:spacing w:line="400" w:lineRule="exact"/>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w:t>
            </w:r>
          </w:p>
        </w:tc>
        <w:tc>
          <w:tcPr>
            <w:tcW w:w="1698" w:type="dxa"/>
            <w:noWrap w:val="0"/>
            <w:vAlign w:val="center"/>
          </w:tcPr>
          <w:p w14:paraId="15AED293">
            <w:pPr>
              <w:keepNext w:val="0"/>
              <w:keepLines w:val="0"/>
              <w:pageBreakBefore w:val="0"/>
              <w:tabs>
                <w:tab w:val="left" w:pos="426"/>
              </w:tabs>
              <w:spacing w:line="400" w:lineRule="exact"/>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企业业绩</w:t>
            </w:r>
          </w:p>
        </w:tc>
        <w:tc>
          <w:tcPr>
            <w:tcW w:w="823" w:type="dxa"/>
            <w:noWrap w:val="0"/>
            <w:vAlign w:val="center"/>
          </w:tcPr>
          <w:p w14:paraId="60BB6FFB">
            <w:pPr>
              <w:keepNext w:val="0"/>
              <w:keepLines w:val="0"/>
              <w:pageBreakBefore w:val="0"/>
              <w:tabs>
                <w:tab w:val="left" w:pos="426"/>
              </w:tabs>
              <w:spacing w:line="400" w:lineRule="exact"/>
              <w:jc w:val="center"/>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6593" w:type="dxa"/>
            <w:noWrap w:val="0"/>
            <w:vAlign w:val="center"/>
          </w:tcPr>
          <w:p w14:paraId="6A5D1943">
            <w:pPr>
              <w:spacing w:line="360" w:lineRule="auto"/>
              <w:rPr>
                <w:rFonts w:hint="eastAsia" w:ascii="Times New Roman" w:hAnsi="Times New Roman" w:eastAsia="宋体" w:cs="Times New Roman"/>
                <w:highlight w:val="none"/>
                <w:vertAlign w:val="baseline"/>
                <w:lang w:val="en-US" w:eastAsia="zh-CN"/>
              </w:rPr>
            </w:pPr>
            <w:r>
              <w:rPr>
                <w:rFonts w:hint="eastAsia" w:ascii="Times New Roman" w:hAnsi="Times New Roman" w:eastAsia="宋体" w:cs="Times New Roman"/>
                <w:highlight w:val="none"/>
                <w:vertAlign w:val="baseline"/>
                <w:lang w:val="en-US" w:eastAsia="zh-CN"/>
              </w:rPr>
              <w:t>投标供应商近三年以来（自响应截止之日起往前推算）承接的类似业绩，每有一项得3分，本项最高得</w:t>
            </w:r>
            <w:r>
              <w:rPr>
                <w:rFonts w:hint="eastAsia" w:cs="Times New Roman"/>
                <w:highlight w:val="none"/>
                <w:vertAlign w:val="baseline"/>
                <w:lang w:val="en-US" w:eastAsia="zh-CN"/>
              </w:rPr>
              <w:t>6</w:t>
            </w:r>
            <w:r>
              <w:rPr>
                <w:rFonts w:hint="eastAsia" w:ascii="Times New Roman" w:hAnsi="Times New Roman" w:eastAsia="宋体" w:cs="Times New Roman"/>
                <w:highlight w:val="none"/>
                <w:vertAlign w:val="baseline"/>
                <w:lang w:val="en-US" w:eastAsia="zh-CN"/>
              </w:rPr>
              <w:t>分。</w:t>
            </w:r>
          </w:p>
          <w:p w14:paraId="2C619DC6">
            <w:pPr>
              <w:keepNext w:val="0"/>
              <w:keepLines w:val="0"/>
              <w:pageBreakBefore w:val="0"/>
              <w:tabs>
                <w:tab w:val="left" w:pos="426"/>
              </w:tabs>
              <w:spacing w:line="400" w:lineRule="exact"/>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FF0000"/>
                <w:sz w:val="24"/>
                <w:szCs w:val="24"/>
                <w:highlight w:val="none"/>
                <w:u w:val="single"/>
                <w:lang w:val="en-US" w:eastAsia="zh-CN"/>
              </w:rPr>
              <w:t>注：</w:t>
            </w:r>
            <w:r>
              <w:rPr>
                <w:rFonts w:hint="eastAsia" w:ascii="宋体" w:hAnsi="宋体" w:cs="宋体"/>
                <w:color w:val="FF0000"/>
                <w:sz w:val="24"/>
                <w:szCs w:val="24"/>
                <w:highlight w:val="none"/>
                <w:u w:val="single"/>
                <w:lang w:val="en-US" w:eastAsia="zh-CN"/>
              </w:rPr>
              <w:t>提供</w:t>
            </w:r>
            <w:r>
              <w:rPr>
                <w:rFonts w:hint="eastAsia" w:ascii="宋体" w:hAnsi="宋体" w:eastAsia="宋体" w:cs="宋体"/>
                <w:color w:val="FF0000"/>
                <w:sz w:val="24"/>
                <w:szCs w:val="24"/>
                <w:highlight w:val="none"/>
                <w:u w:val="single"/>
                <w:lang w:val="en-US" w:eastAsia="zh-CN"/>
              </w:rPr>
              <w:t>合同</w:t>
            </w:r>
            <w:r>
              <w:rPr>
                <w:rFonts w:hint="eastAsia" w:ascii="宋体" w:hAnsi="宋体" w:cs="宋体"/>
                <w:color w:val="FF0000"/>
                <w:sz w:val="24"/>
                <w:szCs w:val="24"/>
                <w:highlight w:val="none"/>
                <w:u w:val="single"/>
                <w:lang w:val="en-US" w:eastAsia="zh-CN"/>
              </w:rPr>
              <w:t>，日期以合同签订时间为准，</w:t>
            </w:r>
            <w:r>
              <w:rPr>
                <w:rFonts w:hint="eastAsia" w:ascii="宋体" w:hAnsi="宋体" w:eastAsia="宋体" w:cs="宋体"/>
                <w:color w:val="FF0000"/>
                <w:sz w:val="24"/>
                <w:szCs w:val="24"/>
                <w:highlight w:val="none"/>
                <w:u w:val="single"/>
                <w:lang w:val="en-US" w:eastAsia="zh-CN"/>
              </w:rPr>
              <w:t>未提供或提供不全不得分。</w:t>
            </w:r>
          </w:p>
        </w:tc>
        <w:tc>
          <w:tcPr>
            <w:tcW w:w="957" w:type="dxa"/>
            <w:noWrap w:val="0"/>
            <w:vAlign w:val="center"/>
          </w:tcPr>
          <w:p w14:paraId="03BEBF0A">
            <w:pPr>
              <w:keepNext w:val="0"/>
              <w:keepLines w:val="0"/>
              <w:pageBreakBefore w:val="0"/>
              <w:spacing w:line="240" w:lineRule="auto"/>
              <w:ind w:left="0"/>
              <w:jc w:val="left"/>
              <w:rPr>
                <w:rFonts w:hint="eastAsia" w:ascii="宋体" w:hAnsi="宋体" w:eastAsia="宋体" w:cs="宋体"/>
                <w:color w:val="000000" w:themeColor="text1"/>
                <w:sz w:val="21"/>
                <w:szCs w:val="21"/>
                <w:highlight w:val="none"/>
                <w:lang w:eastAsia="zh-CN"/>
                <w14:textFill>
                  <w14:solidFill>
                    <w14:schemeClr w14:val="tx1"/>
                  </w14:solidFill>
                </w14:textFill>
              </w:rPr>
            </w:pPr>
          </w:p>
        </w:tc>
      </w:tr>
      <w:tr w14:paraId="0EC5C7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5" w:type="dxa"/>
            <w:noWrap w:val="0"/>
            <w:vAlign w:val="center"/>
          </w:tcPr>
          <w:p w14:paraId="7B5F70ED">
            <w:pPr>
              <w:keepNext w:val="0"/>
              <w:keepLines w:val="0"/>
              <w:pageBreakBefore w:val="0"/>
              <w:tabs>
                <w:tab w:val="left" w:pos="426"/>
              </w:tabs>
              <w:spacing w:line="400" w:lineRule="exact"/>
              <w:jc w:val="center"/>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3.2</w:t>
            </w:r>
          </w:p>
        </w:tc>
        <w:tc>
          <w:tcPr>
            <w:tcW w:w="1698" w:type="dxa"/>
            <w:noWrap w:val="0"/>
            <w:vAlign w:val="center"/>
          </w:tcPr>
          <w:p w14:paraId="30E3B65A">
            <w:pPr>
              <w:spacing w:line="360" w:lineRule="auto"/>
              <w:jc w:val="center"/>
              <w:rPr>
                <w:rFonts w:hint="eastAsia" w:ascii="宋体" w:hAnsi="宋体" w:eastAsia="宋体" w:cs="宋体"/>
                <w:color w:val="auto"/>
                <w:sz w:val="24"/>
                <w:szCs w:val="24"/>
                <w:highlight w:val="none"/>
                <w:lang w:val="en-US" w:eastAsia="zh-CN"/>
              </w:rPr>
            </w:pPr>
            <w:r>
              <w:rPr>
                <w:rFonts w:hint="eastAsia"/>
                <w:highlight w:val="none"/>
                <w:vertAlign w:val="baseline"/>
                <w:lang w:val="en-US" w:eastAsia="zh-CN"/>
              </w:rPr>
              <w:t>项目负责人</w:t>
            </w:r>
          </w:p>
        </w:tc>
        <w:tc>
          <w:tcPr>
            <w:tcW w:w="823" w:type="dxa"/>
            <w:noWrap w:val="0"/>
            <w:vAlign w:val="center"/>
          </w:tcPr>
          <w:p w14:paraId="6EF4897C">
            <w:pPr>
              <w:spacing w:line="360" w:lineRule="auto"/>
              <w:jc w:val="center"/>
              <w:rPr>
                <w:rFonts w:hint="default" w:ascii="宋体" w:hAnsi="宋体" w:eastAsia="宋体" w:cs="宋体"/>
                <w:color w:val="auto"/>
                <w:sz w:val="24"/>
                <w:szCs w:val="24"/>
                <w:highlight w:val="none"/>
                <w:lang w:val="en-US" w:eastAsia="zh-CN"/>
              </w:rPr>
            </w:pPr>
            <w:r>
              <w:rPr>
                <w:rFonts w:hint="eastAsia"/>
                <w:highlight w:val="none"/>
                <w:vertAlign w:val="baseline"/>
                <w:lang w:val="en-US" w:eastAsia="zh-CN"/>
              </w:rPr>
              <w:t>7</w:t>
            </w:r>
          </w:p>
        </w:tc>
        <w:tc>
          <w:tcPr>
            <w:tcW w:w="6593" w:type="dxa"/>
            <w:noWrap w:val="0"/>
            <w:vAlign w:val="top"/>
          </w:tcPr>
          <w:p w14:paraId="4B53229D">
            <w:pPr>
              <w:spacing w:line="360" w:lineRule="auto"/>
              <w:rPr>
                <w:rFonts w:hint="eastAsia"/>
                <w:highlight w:val="none"/>
                <w:vertAlign w:val="baseline"/>
                <w:lang w:val="en-US" w:eastAsia="zh-CN"/>
              </w:rPr>
            </w:pPr>
            <w:r>
              <w:rPr>
                <w:rFonts w:hint="eastAsia"/>
                <w:highlight w:val="none"/>
                <w:vertAlign w:val="baseline"/>
                <w:lang w:val="en-US" w:eastAsia="zh-CN"/>
              </w:rPr>
              <w:t>项目负责人具有园林绿化中级职称的得4分，具有园林绿化高级职称的得7分。</w:t>
            </w:r>
          </w:p>
          <w:p w14:paraId="42CB01B9">
            <w:pPr>
              <w:spacing w:line="360" w:lineRule="auto"/>
              <w:rPr>
                <w:rFonts w:hint="eastAsia"/>
                <w:highlight w:val="none"/>
                <w:vertAlign w:val="baseline"/>
                <w:lang w:val="en-US" w:eastAsia="zh-CN"/>
              </w:rPr>
            </w:pPr>
            <w:r>
              <w:rPr>
                <w:rFonts w:hint="eastAsia"/>
                <w:highlight w:val="none"/>
                <w:vertAlign w:val="baseline"/>
                <w:lang w:val="en-US" w:eastAsia="zh-CN"/>
              </w:rPr>
              <w:t>注：如职称证书无法反映园林类专业，则须同时提供园林绿化类毕业证书（或学历证书）。园林绿化及相关专业：园林（含园林规划设计、园林植物、风景园林、园林绿化）、园艺、城市规划、景观、植物（含植保、森保）、风景旅游、环境艺术。</w:t>
            </w:r>
          </w:p>
          <w:p w14:paraId="2332E9D3">
            <w:pPr>
              <w:keepNext w:val="0"/>
              <w:keepLines w:val="0"/>
              <w:pageBreakBefore w:val="0"/>
              <w:tabs>
                <w:tab w:val="left" w:pos="426"/>
              </w:tabs>
              <w:spacing w:line="400" w:lineRule="exact"/>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FF0000"/>
                <w:sz w:val="24"/>
                <w:szCs w:val="24"/>
                <w:highlight w:val="none"/>
                <w:u w:val="single"/>
                <w:lang w:val="en-US" w:eastAsia="zh-CN"/>
              </w:rPr>
              <w:t>注：提供上述证书扫描件（或照片）及由投标人近半年其中任一个月为其缴纳社保的证明材料，材料不全或未提供不得分。</w:t>
            </w:r>
          </w:p>
        </w:tc>
        <w:tc>
          <w:tcPr>
            <w:tcW w:w="957" w:type="dxa"/>
            <w:noWrap w:val="0"/>
            <w:vAlign w:val="center"/>
          </w:tcPr>
          <w:p w14:paraId="64844409">
            <w:pPr>
              <w:keepNext w:val="0"/>
              <w:keepLines w:val="0"/>
              <w:pageBreakBefore w:val="0"/>
              <w:spacing w:line="240" w:lineRule="auto"/>
              <w:ind w:left="0"/>
              <w:jc w:val="left"/>
              <w:rPr>
                <w:rFonts w:hint="eastAsia" w:ascii="宋体" w:hAnsi="宋体" w:eastAsia="宋体" w:cs="宋体"/>
                <w:color w:val="000000" w:themeColor="text1"/>
                <w:sz w:val="21"/>
                <w:szCs w:val="21"/>
                <w:highlight w:val="none"/>
                <w14:textFill>
                  <w14:solidFill>
                    <w14:schemeClr w14:val="tx1"/>
                  </w14:solidFill>
                </w14:textFill>
              </w:rPr>
            </w:pPr>
          </w:p>
        </w:tc>
      </w:tr>
      <w:tr w14:paraId="798DFD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5" w:type="dxa"/>
            <w:noWrap w:val="0"/>
            <w:vAlign w:val="center"/>
          </w:tcPr>
          <w:p w14:paraId="5E2FA080">
            <w:pPr>
              <w:keepNext w:val="0"/>
              <w:keepLines w:val="0"/>
              <w:pageBreakBefore w:val="0"/>
              <w:tabs>
                <w:tab w:val="left" w:pos="426"/>
              </w:tabs>
              <w:spacing w:line="400" w:lineRule="exact"/>
              <w:jc w:val="center"/>
              <w:outlineLvl w:val="9"/>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3.3</w:t>
            </w:r>
          </w:p>
        </w:tc>
        <w:tc>
          <w:tcPr>
            <w:tcW w:w="1698" w:type="dxa"/>
            <w:noWrap w:val="0"/>
            <w:vAlign w:val="center"/>
          </w:tcPr>
          <w:p w14:paraId="341C6A53">
            <w:pPr>
              <w:spacing w:line="360" w:lineRule="auto"/>
              <w:jc w:val="center"/>
              <w:rPr>
                <w:rFonts w:hint="eastAsia" w:ascii="宋体" w:hAnsi="宋体" w:eastAsia="宋体" w:cs="宋体"/>
                <w:color w:val="auto"/>
                <w:sz w:val="24"/>
                <w:szCs w:val="24"/>
                <w:highlight w:val="none"/>
                <w:lang w:val="en-US" w:eastAsia="zh-CN"/>
              </w:rPr>
            </w:pPr>
            <w:r>
              <w:rPr>
                <w:rFonts w:hint="eastAsia"/>
                <w:highlight w:val="none"/>
                <w:vertAlign w:val="baseline"/>
                <w:lang w:val="en-US" w:eastAsia="zh-CN"/>
              </w:rPr>
              <w:t>作业人员</w:t>
            </w:r>
          </w:p>
        </w:tc>
        <w:tc>
          <w:tcPr>
            <w:tcW w:w="823" w:type="dxa"/>
            <w:noWrap w:val="0"/>
            <w:vAlign w:val="center"/>
          </w:tcPr>
          <w:p w14:paraId="11BD4B8F">
            <w:pPr>
              <w:spacing w:line="360" w:lineRule="auto"/>
              <w:jc w:val="center"/>
              <w:rPr>
                <w:rFonts w:hint="eastAsia" w:ascii="宋体" w:hAnsi="宋体" w:eastAsia="宋体" w:cs="宋体"/>
                <w:color w:val="auto"/>
                <w:sz w:val="24"/>
                <w:szCs w:val="24"/>
                <w:highlight w:val="none"/>
                <w:lang w:val="en-US" w:eastAsia="zh-CN"/>
              </w:rPr>
            </w:pPr>
            <w:r>
              <w:rPr>
                <w:rFonts w:hint="eastAsia"/>
                <w:highlight w:val="none"/>
                <w:vertAlign w:val="baseline"/>
                <w:lang w:val="en-US" w:eastAsia="zh-CN"/>
              </w:rPr>
              <w:t>12</w:t>
            </w:r>
          </w:p>
        </w:tc>
        <w:tc>
          <w:tcPr>
            <w:tcW w:w="6593" w:type="dxa"/>
            <w:noWrap w:val="0"/>
            <w:vAlign w:val="top"/>
          </w:tcPr>
          <w:p w14:paraId="3F12F67E">
            <w:pPr>
              <w:bidi w:val="0"/>
              <w:spacing w:line="360" w:lineRule="auto"/>
              <w:rPr>
                <w:rFonts w:hint="eastAsia"/>
                <w:highlight w:val="none"/>
                <w:lang w:val="en-US" w:eastAsia="zh-CN"/>
              </w:rPr>
            </w:pPr>
            <w:r>
              <w:rPr>
                <w:rFonts w:hint="eastAsia"/>
                <w:highlight w:val="none"/>
                <w:lang w:val="en-US" w:eastAsia="zh-CN"/>
              </w:rPr>
              <w:t>1、拟配作业人员具有中级及以上绿化工或中级及以上花卉工的得3分，最多得6分。</w:t>
            </w:r>
          </w:p>
          <w:p w14:paraId="64559B23">
            <w:pPr>
              <w:bidi w:val="0"/>
              <w:spacing w:line="360" w:lineRule="auto"/>
              <w:rPr>
                <w:rFonts w:hint="default"/>
                <w:highlight w:val="none"/>
                <w:lang w:val="en-US" w:eastAsia="zh-CN"/>
              </w:rPr>
            </w:pPr>
            <w:r>
              <w:rPr>
                <w:rFonts w:hint="eastAsia"/>
                <w:highlight w:val="none"/>
                <w:lang w:val="en-US" w:eastAsia="zh-CN"/>
              </w:rPr>
              <w:t>2、拟配作业人员具有应急局颁发的高处作业证的得3分，最高得6分</w:t>
            </w:r>
          </w:p>
          <w:p w14:paraId="6D1B7148">
            <w:pPr>
              <w:keepNext w:val="0"/>
              <w:keepLines w:val="0"/>
              <w:pageBreakBefore w:val="0"/>
              <w:tabs>
                <w:tab w:val="left" w:pos="426"/>
              </w:tabs>
              <w:spacing w:line="400" w:lineRule="exact"/>
              <w:jc w:val="both"/>
              <w:outlineLvl w:val="9"/>
              <w:rPr>
                <w:rFonts w:hint="eastAsia" w:ascii="宋体" w:hAnsi="宋体" w:eastAsia="宋体" w:cs="宋体"/>
                <w:color w:val="FF0000"/>
                <w:sz w:val="24"/>
                <w:szCs w:val="24"/>
                <w:highlight w:val="none"/>
                <w:u w:val="single"/>
                <w:lang w:val="en-US" w:eastAsia="zh-CN"/>
              </w:rPr>
            </w:pPr>
            <w:r>
              <w:rPr>
                <w:rFonts w:hint="eastAsia" w:ascii="宋体" w:hAnsi="宋体" w:eastAsia="宋体" w:cs="宋体"/>
                <w:color w:val="FF0000"/>
                <w:sz w:val="24"/>
                <w:szCs w:val="24"/>
                <w:highlight w:val="none"/>
                <w:u w:val="single"/>
                <w:lang w:val="en-US" w:eastAsia="zh-CN"/>
              </w:rPr>
              <w:t>注：提供上述人员的证书扫描件（或照片），以及应急局官网、人社或住建部门官网的查询截图及由投标人近半年其中任一个月为其缴纳社保的证明材料，材料不全或未提供不得分。</w:t>
            </w:r>
          </w:p>
        </w:tc>
        <w:tc>
          <w:tcPr>
            <w:tcW w:w="957" w:type="dxa"/>
            <w:noWrap w:val="0"/>
            <w:vAlign w:val="center"/>
          </w:tcPr>
          <w:p w14:paraId="7853CDF2">
            <w:pPr>
              <w:keepNext w:val="0"/>
              <w:keepLines w:val="0"/>
              <w:pageBreakBefore w:val="0"/>
              <w:spacing w:line="240" w:lineRule="auto"/>
              <w:ind w:left="0"/>
              <w:jc w:val="left"/>
              <w:rPr>
                <w:rFonts w:hint="eastAsia" w:ascii="宋体" w:hAnsi="宋体" w:cs="宋体"/>
                <w:color w:val="0000FF"/>
                <w:sz w:val="21"/>
                <w:szCs w:val="21"/>
                <w:highlight w:val="none"/>
                <w:lang w:eastAsia="zh-CN"/>
              </w:rPr>
            </w:pPr>
          </w:p>
        </w:tc>
      </w:tr>
      <w:tr w14:paraId="7E0AA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5" w:type="dxa"/>
            <w:noWrap w:val="0"/>
            <w:vAlign w:val="center"/>
          </w:tcPr>
          <w:p w14:paraId="045BD759">
            <w:pPr>
              <w:keepNext w:val="0"/>
              <w:keepLines w:val="0"/>
              <w:pageBreakBefore w:val="0"/>
              <w:tabs>
                <w:tab w:val="left" w:pos="426"/>
              </w:tabs>
              <w:spacing w:line="400" w:lineRule="exact"/>
              <w:jc w:val="center"/>
              <w:outlineLvl w:val="9"/>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3.4</w:t>
            </w:r>
          </w:p>
        </w:tc>
        <w:tc>
          <w:tcPr>
            <w:tcW w:w="1698" w:type="dxa"/>
            <w:noWrap w:val="0"/>
            <w:vAlign w:val="center"/>
          </w:tcPr>
          <w:p w14:paraId="3460ACED">
            <w:pPr>
              <w:spacing w:line="360" w:lineRule="auto"/>
              <w:jc w:val="center"/>
              <w:rPr>
                <w:rFonts w:hint="eastAsia" w:ascii="宋体" w:hAnsi="宋体" w:eastAsia="宋体" w:cs="宋体"/>
                <w:color w:val="auto"/>
                <w:sz w:val="24"/>
                <w:szCs w:val="24"/>
                <w:highlight w:val="none"/>
                <w:lang w:val="en-US" w:eastAsia="zh-CN"/>
              </w:rPr>
            </w:pPr>
            <w:r>
              <w:rPr>
                <w:rFonts w:hint="eastAsia"/>
                <w:highlight w:val="none"/>
                <w:vertAlign w:val="baseline"/>
                <w:lang w:val="en-US" w:eastAsia="zh-CN"/>
              </w:rPr>
              <w:t>拟投入车辆、设备</w:t>
            </w:r>
          </w:p>
        </w:tc>
        <w:tc>
          <w:tcPr>
            <w:tcW w:w="823" w:type="dxa"/>
            <w:noWrap w:val="0"/>
            <w:vAlign w:val="center"/>
          </w:tcPr>
          <w:p w14:paraId="7C566B2A">
            <w:pPr>
              <w:spacing w:line="360" w:lineRule="auto"/>
              <w:jc w:val="center"/>
              <w:rPr>
                <w:rFonts w:hint="eastAsia" w:ascii="宋体" w:hAnsi="宋体" w:eastAsia="宋体" w:cs="宋体"/>
                <w:color w:val="auto"/>
                <w:sz w:val="24"/>
                <w:szCs w:val="24"/>
                <w:highlight w:val="none"/>
                <w:lang w:val="en-US" w:eastAsia="zh-CN"/>
              </w:rPr>
            </w:pPr>
            <w:r>
              <w:rPr>
                <w:rFonts w:hint="eastAsia"/>
                <w:highlight w:val="none"/>
                <w:vertAlign w:val="baseline"/>
                <w:lang w:val="en-US" w:eastAsia="zh-CN"/>
              </w:rPr>
              <w:t>15</w:t>
            </w:r>
          </w:p>
        </w:tc>
        <w:tc>
          <w:tcPr>
            <w:tcW w:w="6593" w:type="dxa"/>
            <w:noWrap w:val="0"/>
            <w:vAlign w:val="top"/>
          </w:tcPr>
          <w:p w14:paraId="60AAECD4">
            <w:pP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拟投入</w:t>
            </w:r>
            <w:r>
              <w:rPr>
                <w:rFonts w:hint="eastAsia" w:ascii="宋体" w:hAnsi="宋体" w:eastAsia="宋体" w:cs="宋体"/>
                <w:bCs/>
                <w:sz w:val="21"/>
                <w:szCs w:val="21"/>
                <w:highlight w:val="none"/>
              </w:rPr>
              <w:t>养护车辆数量</w:t>
            </w:r>
            <w:r>
              <w:rPr>
                <w:rFonts w:hint="eastAsia" w:ascii="宋体" w:hAnsi="宋体" w:eastAsia="宋体" w:cs="宋体"/>
                <w:sz w:val="21"/>
                <w:szCs w:val="21"/>
                <w:highlight w:val="none"/>
              </w:rPr>
              <w:t>满足甲方</w:t>
            </w:r>
            <w:r>
              <w:rPr>
                <w:rFonts w:hint="eastAsia" w:ascii="宋体" w:hAnsi="宋体" w:eastAsia="宋体" w:cs="宋体"/>
                <w:sz w:val="21"/>
                <w:szCs w:val="21"/>
                <w:highlight w:val="none"/>
                <w:lang w:val="en-US" w:eastAsia="zh-CN"/>
              </w:rPr>
              <w:t>基本</w:t>
            </w:r>
            <w:r>
              <w:rPr>
                <w:rFonts w:hint="eastAsia" w:ascii="宋体" w:hAnsi="宋体" w:eastAsia="宋体" w:cs="宋体"/>
                <w:sz w:val="21"/>
                <w:szCs w:val="21"/>
                <w:highlight w:val="none"/>
              </w:rPr>
              <w:t>要求</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详见采购需求）的基础上，另外有以下车辆或设备的：</w:t>
            </w:r>
          </w:p>
          <w:p w14:paraId="62D6F10C">
            <w:pPr>
              <w:spacing w:line="360" w:lineRule="auto"/>
              <w:rPr>
                <w:rFonts w:hint="eastAsia"/>
                <w:highlight w:val="none"/>
                <w:vertAlign w:val="baseline"/>
                <w:lang w:val="en-US" w:eastAsia="zh-CN"/>
              </w:rPr>
            </w:pPr>
            <w:r>
              <w:rPr>
                <w:rFonts w:hint="eastAsia"/>
                <w:highlight w:val="none"/>
                <w:vertAlign w:val="baseline"/>
                <w:lang w:val="en-US" w:eastAsia="zh-CN"/>
              </w:rPr>
              <w:t>1、（自有或租赁）抑尘车（雾炮车）或洒水车（3吨及以上）的，每有1辆得4分，本项最高得4分；</w:t>
            </w:r>
          </w:p>
          <w:p w14:paraId="0B51B03B">
            <w:pPr>
              <w:spacing w:line="360" w:lineRule="auto"/>
              <w:rPr>
                <w:rFonts w:hint="eastAsia"/>
                <w:highlight w:val="none"/>
                <w:vertAlign w:val="baseline"/>
                <w:lang w:val="en-US" w:eastAsia="zh-CN"/>
              </w:rPr>
            </w:pPr>
            <w:r>
              <w:rPr>
                <w:rFonts w:hint="eastAsia"/>
                <w:highlight w:val="none"/>
                <w:vertAlign w:val="baseline"/>
                <w:lang w:val="en-US" w:eastAsia="zh-CN"/>
              </w:rPr>
              <w:t>2、（自有或租赁）防撞车的，每有1辆得4分，本项最高得4分；</w:t>
            </w:r>
          </w:p>
          <w:p w14:paraId="45A5DDFA">
            <w:pPr>
              <w:spacing w:line="360" w:lineRule="auto"/>
              <w:rPr>
                <w:rFonts w:hint="default"/>
                <w:highlight w:val="none"/>
                <w:lang w:val="en-US" w:eastAsia="zh-CN"/>
              </w:rPr>
            </w:pPr>
            <w:r>
              <w:rPr>
                <w:rFonts w:hint="eastAsia"/>
                <w:highlight w:val="none"/>
                <w:vertAlign w:val="baseline"/>
                <w:lang w:val="en-US" w:eastAsia="zh-CN"/>
              </w:rPr>
              <w:t>3、（自有或租赁）清运（运输）车辆的，每有1辆得4分，本项最高得4分；</w:t>
            </w:r>
          </w:p>
          <w:p w14:paraId="526C132E">
            <w:pPr>
              <w:spacing w:line="360" w:lineRule="auto"/>
              <w:rPr>
                <w:rFonts w:hint="eastAsia"/>
                <w:highlight w:val="none"/>
                <w:vertAlign w:val="baseline"/>
                <w:lang w:val="en-US" w:eastAsia="zh-CN"/>
              </w:rPr>
            </w:pPr>
            <w:r>
              <w:rPr>
                <w:rFonts w:hint="eastAsia"/>
                <w:highlight w:val="none"/>
                <w:vertAlign w:val="baseline"/>
                <w:lang w:val="en-US" w:eastAsia="zh-CN"/>
              </w:rPr>
              <w:t>4、（自有或租赁）绿化机械设备，每台设备得3分，最高得3分。</w:t>
            </w:r>
          </w:p>
          <w:p w14:paraId="70E381CC">
            <w:pPr>
              <w:spacing w:line="360" w:lineRule="auto"/>
              <w:rPr>
                <w:rFonts w:hint="eastAsia"/>
                <w:b/>
                <w:bCs/>
                <w:highlight w:val="none"/>
                <w:vertAlign w:val="baseline"/>
                <w:lang w:val="en-US" w:eastAsia="zh-CN"/>
              </w:rPr>
            </w:pPr>
            <w:r>
              <w:rPr>
                <w:rFonts w:hint="eastAsia"/>
                <w:b/>
                <w:bCs/>
                <w:highlight w:val="none"/>
                <w:vertAlign w:val="baseline"/>
                <w:lang w:val="en-US" w:eastAsia="zh-CN"/>
              </w:rPr>
              <w:t>注：</w:t>
            </w:r>
          </w:p>
          <w:p w14:paraId="1A394BA4">
            <w:pPr>
              <w:keepNext w:val="0"/>
              <w:keepLines w:val="0"/>
              <w:pageBreakBefore w:val="0"/>
              <w:tabs>
                <w:tab w:val="left" w:pos="426"/>
              </w:tabs>
              <w:spacing w:line="400" w:lineRule="exact"/>
              <w:jc w:val="both"/>
              <w:outlineLvl w:val="9"/>
              <w:rPr>
                <w:rFonts w:hint="eastAsia" w:ascii="宋体" w:hAnsi="宋体" w:eastAsia="宋体" w:cs="宋体"/>
                <w:color w:val="FF0000"/>
                <w:sz w:val="24"/>
                <w:szCs w:val="24"/>
                <w:highlight w:val="none"/>
                <w:u w:val="single"/>
                <w:lang w:val="en-US" w:eastAsia="zh-CN"/>
              </w:rPr>
            </w:pPr>
            <w:r>
              <w:rPr>
                <w:rFonts w:hint="eastAsia" w:ascii="宋体" w:hAnsi="宋体" w:eastAsia="宋体" w:cs="宋体"/>
                <w:color w:val="FF0000"/>
                <w:sz w:val="24"/>
                <w:szCs w:val="24"/>
                <w:highlight w:val="none"/>
                <w:u w:val="single"/>
                <w:lang w:val="en-US" w:eastAsia="zh-CN"/>
              </w:rPr>
              <w:t>1、若车辆为自有：响应文件中提供拟投入本项目涉及评分车辆的行驶证（行驶证上登记所有人须为响应供应商或企业的法定代表人，否则不得分）、购买发票或购销合同的复印件加盖公章。</w:t>
            </w:r>
          </w:p>
          <w:p w14:paraId="5CA8FEAF">
            <w:pPr>
              <w:keepNext w:val="0"/>
              <w:keepLines w:val="0"/>
              <w:pageBreakBefore w:val="0"/>
              <w:tabs>
                <w:tab w:val="left" w:pos="426"/>
              </w:tabs>
              <w:spacing w:line="400" w:lineRule="exact"/>
              <w:jc w:val="both"/>
              <w:outlineLvl w:val="9"/>
              <w:rPr>
                <w:rFonts w:hint="eastAsia" w:ascii="宋体" w:hAnsi="宋体" w:eastAsia="宋体" w:cs="宋体"/>
                <w:color w:val="FF0000"/>
                <w:sz w:val="24"/>
                <w:szCs w:val="24"/>
                <w:highlight w:val="none"/>
                <w:u w:val="single"/>
                <w:lang w:val="en-US" w:eastAsia="zh-CN"/>
              </w:rPr>
            </w:pPr>
            <w:r>
              <w:rPr>
                <w:rFonts w:hint="eastAsia" w:ascii="宋体" w:hAnsi="宋体" w:eastAsia="宋体" w:cs="宋体"/>
                <w:color w:val="FF0000"/>
                <w:sz w:val="24"/>
                <w:szCs w:val="24"/>
                <w:highlight w:val="none"/>
                <w:u w:val="single"/>
                <w:lang w:val="en-US" w:eastAsia="zh-CN"/>
              </w:rPr>
              <w:t>2、若车辆为租赁：响应文件中提供拟投入本项目涉及评分车辆的行驶证（行驶证上登记所有人须为出租方或出租方法定代表人，否则不得分）、租赁合同的复印件加盖公章。</w:t>
            </w:r>
          </w:p>
          <w:p w14:paraId="02CA7977">
            <w:pPr>
              <w:keepNext w:val="0"/>
              <w:keepLines w:val="0"/>
              <w:pageBreakBefore w:val="0"/>
              <w:tabs>
                <w:tab w:val="left" w:pos="426"/>
              </w:tabs>
              <w:spacing w:line="400" w:lineRule="exact"/>
              <w:jc w:val="both"/>
              <w:outlineLvl w:val="9"/>
              <w:rPr>
                <w:rFonts w:hint="eastAsia" w:ascii="宋体" w:hAnsi="宋体" w:eastAsia="宋体" w:cs="宋体"/>
                <w:color w:val="FF0000"/>
                <w:sz w:val="24"/>
                <w:szCs w:val="24"/>
                <w:highlight w:val="none"/>
                <w:u w:val="single"/>
                <w:lang w:val="en-US" w:eastAsia="zh-CN"/>
              </w:rPr>
            </w:pPr>
            <w:r>
              <w:rPr>
                <w:rFonts w:hint="eastAsia" w:ascii="宋体" w:hAnsi="宋体" w:eastAsia="宋体" w:cs="宋体"/>
                <w:color w:val="FF0000"/>
                <w:sz w:val="24"/>
                <w:szCs w:val="24"/>
                <w:highlight w:val="none"/>
                <w:u w:val="single"/>
                <w:lang w:val="en-US" w:eastAsia="zh-CN"/>
              </w:rPr>
              <w:t>3、绿化机械设备：响应文件中提供拟投入本项目大型绿化机械设备购买发票或租赁合同的复印件加盖公章。</w:t>
            </w:r>
          </w:p>
        </w:tc>
        <w:tc>
          <w:tcPr>
            <w:tcW w:w="957" w:type="dxa"/>
            <w:noWrap w:val="0"/>
            <w:vAlign w:val="center"/>
          </w:tcPr>
          <w:p w14:paraId="5EAAF486">
            <w:pPr>
              <w:keepNext w:val="0"/>
              <w:keepLines w:val="0"/>
              <w:pageBreakBefore w:val="0"/>
              <w:spacing w:line="240" w:lineRule="auto"/>
              <w:ind w:left="0"/>
              <w:jc w:val="left"/>
              <w:rPr>
                <w:rFonts w:hint="eastAsia" w:ascii="宋体" w:hAnsi="宋体" w:cs="宋体"/>
                <w:color w:val="0000FF"/>
                <w:sz w:val="21"/>
                <w:szCs w:val="21"/>
                <w:highlight w:val="none"/>
                <w:lang w:eastAsia="zh-CN"/>
              </w:rPr>
            </w:pPr>
          </w:p>
        </w:tc>
      </w:tr>
      <w:tr w14:paraId="37CC8A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jc w:val="center"/>
        </w:trPr>
        <w:tc>
          <w:tcPr>
            <w:tcW w:w="2483" w:type="dxa"/>
            <w:gridSpan w:val="2"/>
            <w:noWrap w:val="0"/>
            <w:vAlign w:val="center"/>
          </w:tcPr>
          <w:p w14:paraId="3B435C05">
            <w:pPr>
              <w:keepNext w:val="0"/>
              <w:keepLines w:val="0"/>
              <w:pageBreakBefore w:val="0"/>
              <w:spacing w:line="240" w:lineRule="auto"/>
              <w:ind w:left="0" w:firstLine="28"/>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合计</w:t>
            </w:r>
          </w:p>
        </w:tc>
        <w:tc>
          <w:tcPr>
            <w:tcW w:w="823" w:type="dxa"/>
            <w:noWrap w:val="0"/>
            <w:vAlign w:val="center"/>
          </w:tcPr>
          <w:p w14:paraId="3142A1B8">
            <w:pPr>
              <w:keepNext w:val="0"/>
              <w:keepLines w:val="0"/>
              <w:pageBreakBefore w:val="0"/>
              <w:spacing w:line="240" w:lineRule="auto"/>
              <w:ind w:left="0" w:firstLine="28"/>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100</w:t>
            </w:r>
          </w:p>
        </w:tc>
        <w:tc>
          <w:tcPr>
            <w:tcW w:w="7550" w:type="dxa"/>
            <w:gridSpan w:val="2"/>
            <w:noWrap w:val="0"/>
            <w:vAlign w:val="center"/>
          </w:tcPr>
          <w:p w14:paraId="43202EA2">
            <w:pPr>
              <w:keepNext w:val="0"/>
              <w:keepLines w:val="0"/>
              <w:pageBreakBefore w:val="0"/>
              <w:spacing w:line="240" w:lineRule="auto"/>
              <w:ind w:left="0"/>
              <w:jc w:val="center"/>
              <w:rPr>
                <w:rFonts w:hint="eastAsia" w:ascii="宋体" w:hAnsi="宋体" w:eastAsia="宋体" w:cs="宋体"/>
                <w:color w:val="000000" w:themeColor="text1"/>
                <w:sz w:val="21"/>
                <w:szCs w:val="21"/>
                <w:highlight w:val="none"/>
                <w14:textFill>
                  <w14:solidFill>
                    <w14:schemeClr w14:val="tx1"/>
                  </w14:solidFill>
                </w14:textFill>
              </w:rPr>
            </w:pPr>
          </w:p>
        </w:tc>
      </w:tr>
    </w:tbl>
    <w:p w14:paraId="61E78955">
      <w:pPr>
        <w:tabs>
          <w:tab w:val="left" w:pos="360"/>
          <w:tab w:val="left" w:pos="1080"/>
        </w:tabs>
        <w:spacing w:line="360" w:lineRule="auto"/>
        <w:ind w:firstLine="422"/>
        <w:rPr>
          <w:rFonts w:hint="eastAsia"/>
          <w:color w:val="000000" w:themeColor="text1"/>
          <w:sz w:val="24"/>
          <w:highlight w:val="none"/>
          <w14:textFill>
            <w14:solidFill>
              <w14:schemeClr w14:val="tx1"/>
            </w14:solidFill>
          </w14:textFill>
        </w:rPr>
      </w:pPr>
      <w:bookmarkStart w:id="668" w:name="_Toc25475"/>
      <w:bookmarkStart w:id="669" w:name="_Toc4248"/>
      <w:r>
        <w:rPr>
          <w:rFonts w:hint="eastAsia" w:ascii="宋体" w:hAnsi="宋体" w:cs="宋体"/>
          <w:b/>
          <w:color w:val="000000" w:themeColor="text1"/>
          <w:szCs w:val="21"/>
          <w:highlight w:val="none"/>
          <w:lang w:bidi="ar"/>
          <w14:textFill>
            <w14:solidFill>
              <w14:schemeClr w14:val="tx1"/>
            </w14:solidFill>
          </w14:textFill>
        </w:rPr>
        <w:t>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668"/>
      <w:bookmarkEnd w:id="669"/>
    </w:p>
    <w:p w14:paraId="2231F643">
      <w:pPr>
        <w:spacing w:line="360" w:lineRule="auto"/>
        <w:jc w:val="center"/>
        <w:outlineLvl w:val="0"/>
        <w:rPr>
          <w:b/>
          <w:color w:val="000000" w:themeColor="text1"/>
          <w:sz w:val="36"/>
          <w:szCs w:val="36"/>
          <w:highlight w:val="none"/>
          <w14:textFill>
            <w14:solidFill>
              <w14:schemeClr w14:val="tx1"/>
            </w14:solidFill>
          </w14:textFill>
        </w:rPr>
        <w:sectPr>
          <w:pgSz w:w="11906" w:h="16838"/>
          <w:pgMar w:top="1417" w:right="1134" w:bottom="1417" w:left="1134" w:header="851" w:footer="992" w:gutter="0"/>
          <w:cols w:space="1701" w:num="1"/>
          <w:docGrid w:linePitch="360" w:charSpace="0"/>
        </w:sectPr>
      </w:pPr>
      <w:bookmarkStart w:id="670" w:name="_Toc104818928"/>
    </w:p>
    <w:p w14:paraId="32EC93C5">
      <w:pPr>
        <w:spacing w:line="360" w:lineRule="auto"/>
        <w:jc w:val="center"/>
        <w:outlineLvl w:val="0"/>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第四章   采购需求</w:t>
      </w:r>
      <w:bookmarkEnd w:id="670"/>
    </w:p>
    <w:p w14:paraId="2B7BCFCE">
      <w:pPr>
        <w:pStyle w:val="454"/>
        <w:keepNext w:val="0"/>
        <w:keepLines w:val="0"/>
        <w:pageBreakBefore w:val="0"/>
        <w:widowControl w:val="0"/>
        <w:spacing w:line="440" w:lineRule="atLeast"/>
        <w:ind w:left="0" w:firstLine="0"/>
        <w:rPr>
          <w:rFonts w:hint="eastAsia" w:ascii="宋体" w:hAnsi="宋体" w:eastAsia="宋体" w:cs="宋体"/>
          <w:b/>
          <w:bCs w:val="0"/>
          <w:color w:val="000000" w:themeColor="text1"/>
          <w:sz w:val="24"/>
          <w:szCs w:val="24"/>
          <w:highlight w:val="none"/>
          <w14:textFill>
            <w14:solidFill>
              <w14:schemeClr w14:val="tx1"/>
            </w14:solidFill>
          </w14:textFill>
        </w:rPr>
      </w:pPr>
      <w:bookmarkStart w:id="671" w:name="_Toc104818929"/>
      <w:r>
        <w:rPr>
          <w:rFonts w:hint="eastAsia" w:ascii="宋体" w:hAnsi="宋体" w:eastAsia="宋体" w:cs="宋体"/>
          <w:b/>
          <w:bCs w:val="0"/>
          <w:color w:val="000000" w:themeColor="text1"/>
          <w:sz w:val="24"/>
          <w:szCs w:val="24"/>
          <w:highlight w:val="none"/>
          <w14:textFill>
            <w14:solidFill>
              <w14:schemeClr w14:val="tx1"/>
            </w14:solidFill>
          </w14:textFill>
        </w:rPr>
        <w:t>一、采购标的</w:t>
      </w:r>
    </w:p>
    <w:p w14:paraId="73C3A09C">
      <w:pPr>
        <w:keepNext w:val="0"/>
        <w:keepLines w:val="0"/>
        <w:pageBreakBefore w:val="0"/>
        <w:widowControl w:val="0"/>
        <w:spacing w:line="440" w:lineRule="atLeast"/>
        <w:ind w:firstLine="480"/>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1．项目名称：</w:t>
      </w:r>
      <w:r>
        <w:rPr>
          <w:rFonts w:hint="eastAsia" w:ascii="宋体" w:hAnsi="宋体" w:cs="宋体"/>
          <w:color w:val="000000" w:themeColor="text1"/>
          <w:sz w:val="24"/>
          <w:szCs w:val="24"/>
          <w:highlight w:val="none"/>
          <w:lang w:eastAsia="zh-CN"/>
          <w14:textFill>
            <w14:solidFill>
              <w14:schemeClr w14:val="tx1"/>
            </w14:solidFill>
          </w14:textFill>
        </w:rPr>
        <w:t>朱林镇2026-2028年度集镇及园区绿化养护市场化运作项目</w:t>
      </w:r>
    </w:p>
    <w:p w14:paraId="48D76DE7">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2．预算金额：</w:t>
      </w:r>
      <w:r>
        <w:rPr>
          <w:rFonts w:hint="eastAsia" w:ascii="宋体" w:hAnsi="宋体" w:cs="宋体"/>
          <w:color w:val="000000" w:themeColor="text1"/>
          <w:sz w:val="24"/>
          <w:szCs w:val="24"/>
          <w:highlight w:val="none"/>
          <w:lang w:val="en-US" w:eastAsia="zh-CN"/>
          <w14:textFill>
            <w14:solidFill>
              <w14:schemeClr w14:val="tx1"/>
            </w14:solidFill>
          </w14:textFill>
        </w:rPr>
        <w:t>210万元</w:t>
      </w:r>
    </w:p>
    <w:p w14:paraId="30F6A0A3">
      <w:pPr>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Times New Roman" w:hAnsi="Times New Roman" w:eastAsia="宋体" w:cs="Times New Roman"/>
          <w:color w:val="auto"/>
          <w:sz w:val="24"/>
          <w:highlight w:val="none"/>
          <w:lang w:eastAsia="zh-CN"/>
        </w:rPr>
        <w:t>最高限价：</w:t>
      </w:r>
      <w:r>
        <w:rPr>
          <w:rFonts w:hint="eastAsia" w:cs="Times New Roman"/>
          <w:color w:val="auto"/>
          <w:sz w:val="24"/>
          <w:highlight w:val="none"/>
          <w:lang w:val="en-US" w:eastAsia="zh-CN"/>
        </w:rPr>
        <w:t>70万元/年，</w:t>
      </w:r>
      <w:r>
        <w:rPr>
          <w:rFonts w:hint="eastAsia" w:ascii="Times New Roman" w:hAnsi="Times New Roman" w:eastAsia="宋体" w:cs="Times New Roman"/>
          <w:kern w:val="2"/>
          <w:sz w:val="24"/>
          <w:highlight w:val="none"/>
          <w:lang w:val="en-US" w:eastAsia="zh-CN"/>
        </w:rPr>
        <w:t>投标报价不得高于最高限价,超过最高限价的作无效响应文件处理</w:t>
      </w:r>
      <w:r>
        <w:rPr>
          <w:rFonts w:hint="eastAsia" w:ascii="Times New Roman" w:hAnsi="Times New Roman" w:eastAsia="宋体" w:cs="Times New Roman"/>
          <w:kern w:val="2"/>
          <w:sz w:val="24"/>
          <w:highlight w:val="none"/>
          <w:lang w:eastAsia="zh-CN"/>
        </w:rPr>
        <w:t>。</w:t>
      </w:r>
    </w:p>
    <w:p w14:paraId="26633E95">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采购项目概况（简介）：养护内容包括：（1）养护区内环境整洁；（2）绿地养护必须达到附件材料中的质量要求；（3）巡查上报园林设施维护修理情况；（4）养护区内各类设施的看护、保洁、垃圾清理；（5）苗木补植（以现场情况及</w:t>
      </w:r>
      <w:r>
        <w:rPr>
          <w:rFonts w:hint="eastAsia" w:ascii="宋体" w:hAnsi="宋体" w:eastAsia="宋体" w:cs="宋体"/>
          <w:color w:val="000000" w:themeColor="text1"/>
          <w:sz w:val="24"/>
          <w:szCs w:val="24"/>
          <w:highlight w:val="none"/>
          <w:lang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指令为准）；（6）部分乔灌木以及色块的回缩修剪；（7）管护质量要求：植物保存率100%；以上工作内容相关的所有费用均包含在中标后合同价内，不另行结算</w:t>
      </w:r>
      <w:r>
        <w:rPr>
          <w:rFonts w:hint="eastAsia" w:ascii="宋体" w:hAnsi="宋体" w:eastAsia="宋体" w:cs="宋体"/>
          <w:color w:val="000000" w:themeColor="text1"/>
          <w:sz w:val="24"/>
          <w:szCs w:val="24"/>
          <w:highlight w:val="none"/>
          <w:lang w:val="zh-CN"/>
          <w14:textFill>
            <w14:solidFill>
              <w14:schemeClr w14:val="tx1"/>
            </w14:solidFill>
          </w14:textFill>
        </w:rPr>
        <w:t>。</w:t>
      </w:r>
    </w:p>
    <w:p w14:paraId="0DB76BA5">
      <w:pPr>
        <w:spacing w:line="360" w:lineRule="auto"/>
        <w:ind w:firstLine="480" w:firstLineChars="200"/>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5．合同履行期限：</w:t>
      </w:r>
      <w:r>
        <w:rPr>
          <w:rFonts w:hint="eastAsia" w:ascii="Times New Roman" w:hAnsi="Times New Roman" w:eastAsia="宋体" w:cs="Times New Roman"/>
          <w:kern w:val="2"/>
          <w:sz w:val="24"/>
          <w:highlight w:val="none"/>
          <w:lang w:val="en-US" w:eastAsia="zh-CN"/>
        </w:rPr>
        <w:t>三年，合同一年一签。合同期满经采购人同意且考核合格可续签下一年合同。如中标供应商下一年度不续签该服务合同，须在期满之日的2个月前通知采购人。</w:t>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1A7A81C7">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6．是/否接受联合体投标：</w:t>
      </w:r>
      <w:r>
        <w:rPr>
          <w:rFonts w:hint="eastAsia" w:ascii="宋体" w:hAnsi="宋体" w:eastAsia="宋体" w:cs="宋体"/>
          <w:color w:val="000000" w:themeColor="text1"/>
          <w:sz w:val="24"/>
          <w:szCs w:val="24"/>
          <w:highlight w:val="none"/>
          <w:lang w:eastAsia="zh-CN"/>
          <w14:textFill>
            <w14:solidFill>
              <w14:schemeClr w14:val="tx1"/>
            </w14:solidFill>
          </w14:textFill>
        </w:rPr>
        <w:t>否</w:t>
      </w:r>
    </w:p>
    <w:p w14:paraId="63229541">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7．是/否接受分支机构参与响应：</w:t>
      </w:r>
      <w:r>
        <w:rPr>
          <w:rFonts w:hint="eastAsia" w:ascii="宋体" w:hAnsi="宋体" w:eastAsia="宋体" w:cs="宋体"/>
          <w:color w:val="000000" w:themeColor="text1"/>
          <w:sz w:val="24"/>
          <w:szCs w:val="24"/>
          <w:highlight w:val="none"/>
          <w:lang w:eastAsia="zh-CN"/>
          <w14:textFill>
            <w14:solidFill>
              <w14:schemeClr w14:val="tx1"/>
            </w14:solidFill>
          </w14:textFill>
        </w:rPr>
        <w:t>否</w:t>
      </w:r>
    </w:p>
    <w:p w14:paraId="0AFF8ADF">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8．是/否属于政府购买服务：</w:t>
      </w:r>
      <w:r>
        <w:rPr>
          <w:rFonts w:hint="eastAsia" w:ascii="宋体" w:hAnsi="宋体" w:cs="宋体"/>
          <w:color w:val="000000" w:themeColor="text1"/>
          <w:sz w:val="24"/>
          <w:szCs w:val="24"/>
          <w:highlight w:val="none"/>
          <w:lang w:val="en-US" w:eastAsia="zh-CN"/>
          <w14:textFill>
            <w14:solidFill>
              <w14:schemeClr w14:val="tx1"/>
            </w14:solidFill>
          </w14:textFill>
        </w:rPr>
        <w:t>是</w:t>
      </w:r>
    </w:p>
    <w:p w14:paraId="65C9C8EA">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9．是/否接受进口产品投标：否</w:t>
      </w:r>
    </w:p>
    <w:p w14:paraId="6ED48778">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10．是/否专门面向中小企业预留采购份额：是</w:t>
      </w:r>
    </w:p>
    <w:p w14:paraId="1F79DA75">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11．本项目的特定资格要求：</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6C5BABF9">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12．项目类别：</w:t>
      </w:r>
      <w:r>
        <w:rPr>
          <w:rFonts w:hint="eastAsia" w:ascii="宋体" w:hAnsi="宋体" w:cs="宋体"/>
          <w:color w:val="000000" w:themeColor="text1"/>
          <w:sz w:val="24"/>
          <w:szCs w:val="24"/>
          <w:highlight w:val="none"/>
          <w:lang w:val="en-US" w:eastAsia="zh-CN"/>
          <w14:textFill>
            <w14:solidFill>
              <w14:schemeClr w14:val="tx1"/>
            </w14:solidFill>
          </w14:textFill>
        </w:rPr>
        <w:t>服务</w:t>
      </w:r>
      <w:r>
        <w:rPr>
          <w:rFonts w:hint="eastAsia" w:ascii="宋体" w:hAnsi="宋体" w:eastAsia="宋体" w:cs="宋体"/>
          <w:color w:val="000000" w:themeColor="text1"/>
          <w:sz w:val="24"/>
          <w:szCs w:val="24"/>
          <w:highlight w:val="none"/>
          <w14:textFill>
            <w14:solidFill>
              <w14:schemeClr w14:val="tx1"/>
            </w14:solidFill>
          </w14:textFill>
        </w:rPr>
        <w:t>类</w:t>
      </w:r>
    </w:p>
    <w:p w14:paraId="3492E6F2">
      <w:pPr>
        <w:pStyle w:val="454"/>
        <w:keepNext w:val="0"/>
        <w:keepLines w:val="0"/>
        <w:pageBreakBefore w:val="0"/>
        <w:widowControl w:val="0"/>
        <w:spacing w:line="440" w:lineRule="atLeast"/>
        <w:ind w:left="0" w:firstLine="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二、商务要求</w:t>
      </w:r>
    </w:p>
    <w:p w14:paraId="5F014810">
      <w:pPr>
        <w:keepNext w:val="0"/>
        <w:keepLines w:val="0"/>
        <w:pageBreakBefore w:val="0"/>
        <w:widowControl w:val="0"/>
        <w:spacing w:line="440" w:lineRule="atLeast"/>
        <w:ind w:firstLine="48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1．交付（实施）的时间（期限）和地点（范围）</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p w14:paraId="6EB9D9FA">
      <w:pPr>
        <w:keepNext w:val="0"/>
        <w:keepLines w:val="0"/>
        <w:pageBreakBefore w:val="0"/>
        <w:widowControl w:val="0"/>
        <w:spacing w:line="440" w:lineRule="atLeast"/>
        <w:ind w:firstLine="48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服务期限：</w:t>
      </w:r>
      <w:r>
        <w:rPr>
          <w:rFonts w:hint="eastAsia" w:ascii="宋体" w:hAnsi="宋体" w:cs="宋体"/>
          <w:color w:val="000000" w:themeColor="text1"/>
          <w:sz w:val="24"/>
          <w:szCs w:val="24"/>
          <w:highlight w:val="none"/>
          <w:lang w:val="en-US" w:eastAsia="zh-CN"/>
          <w14:textFill>
            <w14:solidFill>
              <w14:schemeClr w14:val="tx1"/>
            </w14:solidFill>
          </w14:textFill>
        </w:rPr>
        <w:t>1年</w:t>
      </w:r>
    </w:p>
    <w:p w14:paraId="4A006E3F">
      <w:pPr>
        <w:keepNext w:val="0"/>
        <w:keepLines w:val="0"/>
        <w:pageBreakBefore w:val="0"/>
        <w:widowControl w:val="0"/>
        <w:spacing w:line="440" w:lineRule="atLeast"/>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地点（范围）</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常州市金坛区</w:t>
      </w:r>
    </w:p>
    <w:p w14:paraId="50E17D8C">
      <w:pPr>
        <w:keepNext w:val="0"/>
        <w:keepLines w:val="0"/>
        <w:pageBreakBefore w:val="0"/>
        <w:widowControl w:val="0"/>
        <w:numPr>
          <w:ilvl w:val="0"/>
          <w:numId w:val="13"/>
        </w:numPr>
        <w:spacing w:line="440" w:lineRule="atLeast"/>
        <w:ind w:firstLine="482"/>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付款条件（进度和方式）</w:t>
      </w:r>
    </w:p>
    <w:p w14:paraId="506F6CFF">
      <w:pPr>
        <w:keepNext w:val="0"/>
        <w:keepLines w:val="0"/>
        <w:pageBreakBefore w:val="0"/>
        <w:widowControl w:val="0"/>
        <w:numPr>
          <w:ilvl w:val="0"/>
          <w:numId w:val="0"/>
        </w:numPr>
        <w:spacing w:line="440" w:lineRule="atLeast"/>
        <w:ind w:firstLine="482"/>
        <w:rPr>
          <w:rFonts w:hint="default" w:ascii="宋体" w:hAnsi="宋体" w:cs="宋体"/>
          <w:b/>
          <w:bCs w:val="0"/>
          <w:color w:val="000000" w:themeColor="text1"/>
          <w:sz w:val="24"/>
          <w:szCs w:val="24"/>
          <w:highlight w:val="none"/>
          <w:lang w:val="en-US" w:eastAsia="zh-CN"/>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合同签订后支付合同价的10%作为预付款，一年养护期满且考核合格后支付剩余款项。</w:t>
      </w:r>
    </w:p>
    <w:p w14:paraId="20A9F29F">
      <w:pPr>
        <w:keepNext w:val="0"/>
        <w:keepLines w:val="0"/>
        <w:pageBreakBefore w:val="0"/>
        <w:widowControl w:val="0"/>
        <w:numPr>
          <w:ilvl w:val="0"/>
          <w:numId w:val="0"/>
        </w:numPr>
        <w:spacing w:line="440" w:lineRule="atLeast"/>
        <w:ind w:firstLine="482"/>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各支付节点支付项目</w:t>
      </w:r>
      <w:r>
        <w:rPr>
          <w:rFonts w:hint="eastAsia" w:ascii="宋体" w:hAnsi="宋体" w:cs="宋体"/>
          <w:b/>
          <w:bCs w:val="0"/>
          <w:color w:val="000000" w:themeColor="text1"/>
          <w:sz w:val="24"/>
          <w:szCs w:val="24"/>
          <w:highlight w:val="none"/>
          <w:lang w:val="en-US" w:eastAsia="zh-CN"/>
          <w14:textFill>
            <w14:solidFill>
              <w14:schemeClr w14:val="tx1"/>
            </w14:solidFill>
          </w14:textFill>
        </w:rPr>
        <w:t>价</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款时需同时提供等额的增值税专用发票（发票需符合国家税务总局的相关要求，发票税点符合税法相关要求）。</w:t>
      </w:r>
    </w:p>
    <w:p w14:paraId="7FC66B18">
      <w:pPr>
        <w:widowControl w:val="0"/>
        <w:numPr>
          <w:ilvl w:val="0"/>
          <w:numId w:val="0"/>
        </w:numPr>
        <w:spacing w:line="360" w:lineRule="auto"/>
        <w:ind w:leftChars="0" w:firstLine="420" w:firstLineChars="200"/>
        <w:contextualSpacing/>
        <w:jc w:val="both"/>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3、</w:t>
      </w:r>
      <w:r>
        <w:rPr>
          <w:rFonts w:hint="eastAsia" w:ascii="宋体" w:hAnsi="宋体" w:eastAsia="宋体" w:cs="宋体"/>
          <w:b w:val="0"/>
          <w:bCs/>
          <w:color w:val="auto"/>
          <w:sz w:val="21"/>
          <w:szCs w:val="21"/>
          <w:highlight w:val="none"/>
        </w:rPr>
        <w:t>养护面积：约11.</w:t>
      </w:r>
      <w:r>
        <w:rPr>
          <w:rFonts w:hint="eastAsia" w:ascii="宋体" w:hAnsi="宋体" w:eastAsia="宋体" w:cs="宋体"/>
          <w:b w:val="0"/>
          <w:bCs/>
          <w:color w:val="auto"/>
          <w:sz w:val="21"/>
          <w:szCs w:val="21"/>
          <w:highlight w:val="none"/>
          <w:lang w:val="en-US" w:eastAsia="zh-CN"/>
        </w:rPr>
        <w:t>5</w:t>
      </w:r>
      <w:r>
        <w:rPr>
          <w:rFonts w:hint="eastAsia" w:ascii="宋体" w:hAnsi="宋体" w:eastAsia="宋体" w:cs="宋体"/>
          <w:b w:val="0"/>
          <w:bCs/>
          <w:color w:val="auto"/>
          <w:sz w:val="21"/>
          <w:szCs w:val="21"/>
          <w:highlight w:val="none"/>
        </w:rPr>
        <w:t>万平方米。具体详见各道路范围及面积表。</w:t>
      </w:r>
    </w:p>
    <w:tbl>
      <w:tblPr>
        <w:tblStyle w:val="30"/>
        <w:tblW w:w="0" w:type="auto"/>
        <w:tblInd w:w="-5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55"/>
        <w:gridCol w:w="1686"/>
        <w:gridCol w:w="1854"/>
        <w:gridCol w:w="1487"/>
        <w:gridCol w:w="1063"/>
        <w:gridCol w:w="1378"/>
        <w:gridCol w:w="1115"/>
      </w:tblGrid>
      <w:tr w14:paraId="20F88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3" w:hRule="atLeast"/>
        </w:trPr>
        <w:tc>
          <w:tcPr>
            <w:tcW w:w="9338" w:type="dxa"/>
            <w:gridSpan w:val="7"/>
            <w:tcBorders>
              <w:top w:val="nil"/>
              <w:left w:val="nil"/>
              <w:bottom w:val="nil"/>
              <w:right w:val="nil"/>
            </w:tcBorders>
            <w:noWrap/>
            <w:vAlign w:val="center"/>
          </w:tcPr>
          <w:p w14:paraId="3634D02E">
            <w:pPr>
              <w:keepNext w:val="0"/>
              <w:keepLines w:val="0"/>
              <w:widowControl/>
              <w:suppressLineNumbers w:val="0"/>
              <w:jc w:val="center"/>
              <w:textAlignment w:val="center"/>
              <w:rPr>
                <w:rFonts w:hint="eastAsia" w:ascii="宋体" w:hAnsi="宋体" w:eastAsia="宋体" w:cs="宋体"/>
                <w:b/>
                <w:bCs/>
                <w:i w:val="0"/>
                <w:iCs w:val="0"/>
                <w:color w:val="000000"/>
                <w:kern w:val="2"/>
                <w:sz w:val="32"/>
                <w:szCs w:val="32"/>
                <w:highlight w:val="none"/>
                <w:u w:val="none"/>
              </w:rPr>
            </w:pPr>
            <w:r>
              <w:rPr>
                <w:rFonts w:hint="eastAsia" w:ascii="宋体" w:hAnsi="宋体" w:eastAsia="宋体" w:cs="宋体"/>
                <w:b/>
                <w:bCs/>
                <w:i w:val="0"/>
                <w:iCs w:val="0"/>
                <w:color w:val="000000"/>
                <w:kern w:val="0"/>
                <w:sz w:val="32"/>
                <w:szCs w:val="32"/>
                <w:highlight w:val="none"/>
                <w:u w:val="none"/>
                <w:lang w:val="en-US" w:eastAsia="zh-CN" w:bidi="ar"/>
              </w:rPr>
              <w:t>朱林集镇、园区绿化养护明细</w:t>
            </w:r>
          </w:p>
        </w:tc>
      </w:tr>
      <w:tr w14:paraId="37539B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4" w:hRule="atLeast"/>
        </w:trPr>
        <w:tc>
          <w:tcPr>
            <w:tcW w:w="755" w:type="dxa"/>
            <w:tcBorders>
              <w:top w:val="single" w:color="000000" w:sz="4" w:space="0"/>
              <w:left w:val="single" w:color="000000" w:sz="4" w:space="0"/>
              <w:bottom w:val="single" w:color="000000" w:sz="4" w:space="0"/>
              <w:right w:val="single" w:color="000000" w:sz="4" w:space="0"/>
            </w:tcBorders>
            <w:noWrap w:val="0"/>
            <w:vAlign w:val="center"/>
          </w:tcPr>
          <w:p w14:paraId="0FB905E8">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1686" w:type="dxa"/>
            <w:tcBorders>
              <w:top w:val="single" w:color="000000" w:sz="4" w:space="0"/>
              <w:left w:val="single" w:color="000000" w:sz="4" w:space="0"/>
              <w:bottom w:val="single" w:color="000000" w:sz="4" w:space="0"/>
              <w:right w:val="single" w:color="000000" w:sz="4" w:space="0"/>
            </w:tcBorders>
            <w:noWrap w:val="0"/>
            <w:vAlign w:val="center"/>
          </w:tcPr>
          <w:p w14:paraId="6BB93B38">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道路名称</w:t>
            </w:r>
          </w:p>
        </w:tc>
        <w:tc>
          <w:tcPr>
            <w:tcW w:w="1854" w:type="dxa"/>
            <w:tcBorders>
              <w:top w:val="single" w:color="000000" w:sz="4" w:space="0"/>
              <w:left w:val="single" w:color="000000" w:sz="4" w:space="0"/>
              <w:bottom w:val="single" w:color="000000" w:sz="4" w:space="0"/>
              <w:right w:val="single" w:color="000000" w:sz="4" w:space="0"/>
            </w:tcBorders>
            <w:noWrap w:val="0"/>
            <w:vAlign w:val="center"/>
          </w:tcPr>
          <w:p w14:paraId="186BF0BF">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区域</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05DC6C81">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面积（m2）</w:t>
            </w:r>
          </w:p>
        </w:tc>
        <w:tc>
          <w:tcPr>
            <w:tcW w:w="1063" w:type="dxa"/>
            <w:tcBorders>
              <w:top w:val="single" w:color="000000" w:sz="4" w:space="0"/>
              <w:left w:val="single" w:color="000000" w:sz="4" w:space="0"/>
              <w:bottom w:val="single" w:color="000000" w:sz="4" w:space="0"/>
              <w:right w:val="single" w:color="000000" w:sz="4" w:space="0"/>
            </w:tcBorders>
            <w:noWrap w:val="0"/>
            <w:vAlign w:val="center"/>
          </w:tcPr>
          <w:p w14:paraId="138BF2F5">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绿地等级</w:t>
            </w:r>
          </w:p>
        </w:tc>
        <w:tc>
          <w:tcPr>
            <w:tcW w:w="1378" w:type="dxa"/>
            <w:tcBorders>
              <w:top w:val="single" w:color="000000" w:sz="4" w:space="0"/>
              <w:left w:val="single" w:color="000000" w:sz="4" w:space="0"/>
              <w:bottom w:val="single" w:color="000000" w:sz="4" w:space="0"/>
              <w:right w:val="single" w:color="000000" w:sz="4" w:space="0"/>
            </w:tcBorders>
            <w:noWrap w:val="0"/>
            <w:vAlign w:val="center"/>
          </w:tcPr>
          <w:p w14:paraId="3B22C18A">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苗木类型</w:t>
            </w:r>
          </w:p>
        </w:tc>
        <w:tc>
          <w:tcPr>
            <w:tcW w:w="1115" w:type="dxa"/>
            <w:tcBorders>
              <w:top w:val="single" w:color="000000" w:sz="4" w:space="0"/>
              <w:left w:val="nil"/>
              <w:bottom w:val="single" w:color="000000" w:sz="4" w:space="0"/>
              <w:right w:val="single" w:color="000000" w:sz="4" w:space="0"/>
            </w:tcBorders>
            <w:noWrap w:val="0"/>
            <w:vAlign w:val="center"/>
          </w:tcPr>
          <w:p w14:paraId="700812B6">
            <w:pPr>
              <w:keepNext w:val="0"/>
              <w:keepLines w:val="0"/>
              <w:widowControl/>
              <w:suppressLineNumbers w:val="0"/>
              <w:jc w:val="center"/>
              <w:textAlignment w:val="center"/>
              <w:rPr>
                <w:rFonts w:hint="eastAsia" w:ascii="宋体" w:hAnsi="宋体" w:eastAsia="宋体" w:cs="宋体"/>
                <w:b/>
                <w:bCs/>
                <w:i w:val="0"/>
                <w:iCs w:val="0"/>
                <w:color w:val="000000"/>
                <w:kern w:val="2"/>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大型树木</w:t>
            </w:r>
          </w:p>
        </w:tc>
      </w:tr>
      <w:tr w14:paraId="77D51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55" w:type="dxa"/>
            <w:tcBorders>
              <w:top w:val="single" w:color="000000" w:sz="4" w:space="0"/>
              <w:left w:val="single" w:color="000000" w:sz="4" w:space="0"/>
              <w:bottom w:val="single" w:color="000000" w:sz="4" w:space="0"/>
              <w:right w:val="single" w:color="000000" w:sz="4" w:space="0"/>
            </w:tcBorders>
            <w:noWrap/>
            <w:vAlign w:val="center"/>
          </w:tcPr>
          <w:p w14:paraId="1B31364F">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一</w:t>
            </w:r>
          </w:p>
        </w:tc>
        <w:tc>
          <w:tcPr>
            <w:tcW w:w="1686" w:type="dxa"/>
            <w:tcBorders>
              <w:top w:val="single" w:color="000000" w:sz="4" w:space="0"/>
              <w:left w:val="single" w:color="000000" w:sz="4" w:space="0"/>
              <w:bottom w:val="single" w:color="000000" w:sz="4" w:space="0"/>
              <w:right w:val="single" w:color="000000" w:sz="4" w:space="0"/>
            </w:tcBorders>
            <w:noWrap/>
            <w:vAlign w:val="center"/>
          </w:tcPr>
          <w:p w14:paraId="3D141B72">
            <w:pPr>
              <w:keepNext w:val="0"/>
              <w:keepLines w:val="0"/>
              <w:widowControl/>
              <w:suppressLineNumbers w:val="0"/>
              <w:jc w:val="center"/>
              <w:textAlignment w:val="center"/>
              <w:rPr>
                <w:rFonts w:hint="eastAsia" w:ascii="宋体" w:hAnsi="宋体" w:eastAsia="宋体" w:cs="宋体"/>
                <w:b/>
                <w:bCs/>
                <w:i w:val="0"/>
                <w:iCs w:val="0"/>
                <w:color w:val="FF0000"/>
                <w:kern w:val="2"/>
                <w:sz w:val="21"/>
                <w:szCs w:val="21"/>
                <w:highlight w:val="none"/>
                <w:u w:val="none"/>
              </w:rPr>
            </w:pPr>
            <w:r>
              <w:rPr>
                <w:rFonts w:hint="eastAsia" w:ascii="宋体" w:hAnsi="宋体" w:eastAsia="宋体" w:cs="宋体"/>
                <w:b/>
                <w:bCs/>
                <w:i w:val="0"/>
                <w:iCs w:val="0"/>
                <w:color w:val="FF0000"/>
                <w:kern w:val="0"/>
                <w:sz w:val="21"/>
                <w:szCs w:val="21"/>
                <w:highlight w:val="none"/>
                <w:u w:val="none"/>
                <w:lang w:val="en-US" w:eastAsia="zh-CN" w:bidi="ar"/>
              </w:rPr>
              <w:t>集镇段</w:t>
            </w:r>
          </w:p>
        </w:tc>
        <w:tc>
          <w:tcPr>
            <w:tcW w:w="1854" w:type="dxa"/>
            <w:tcBorders>
              <w:top w:val="single" w:color="000000" w:sz="4" w:space="0"/>
              <w:left w:val="single" w:color="000000" w:sz="4" w:space="0"/>
              <w:bottom w:val="single" w:color="000000" w:sz="4" w:space="0"/>
              <w:right w:val="single" w:color="000000" w:sz="4" w:space="0"/>
            </w:tcBorders>
            <w:noWrap w:val="0"/>
            <w:vAlign w:val="center"/>
          </w:tcPr>
          <w:p w14:paraId="77E67580">
            <w:pPr>
              <w:jc w:val="center"/>
              <w:rPr>
                <w:rFonts w:hint="eastAsia" w:ascii="宋体" w:hAnsi="宋体" w:eastAsia="宋体" w:cs="宋体"/>
                <w:b/>
                <w:bCs/>
                <w:i w:val="0"/>
                <w:iCs w:val="0"/>
                <w:color w:val="FF0000"/>
                <w:kern w:val="2"/>
                <w:sz w:val="21"/>
                <w:szCs w:val="21"/>
                <w:highlight w:val="none"/>
                <w:u w:val="none"/>
              </w:rPr>
            </w:pPr>
          </w:p>
        </w:tc>
        <w:tc>
          <w:tcPr>
            <w:tcW w:w="1487" w:type="dxa"/>
            <w:tcBorders>
              <w:top w:val="single" w:color="000000" w:sz="4" w:space="0"/>
              <w:left w:val="single" w:color="000000" w:sz="4" w:space="0"/>
              <w:bottom w:val="single" w:color="000000" w:sz="4" w:space="0"/>
              <w:right w:val="single" w:color="000000" w:sz="4" w:space="0"/>
            </w:tcBorders>
            <w:noWrap/>
            <w:vAlign w:val="center"/>
          </w:tcPr>
          <w:p w14:paraId="2EDFE124">
            <w:pPr>
              <w:keepNext w:val="0"/>
              <w:keepLines w:val="0"/>
              <w:widowControl/>
              <w:suppressLineNumbers w:val="0"/>
              <w:jc w:val="center"/>
              <w:textAlignment w:val="center"/>
              <w:rPr>
                <w:rFonts w:hint="eastAsia" w:ascii="宋体" w:hAnsi="宋体" w:eastAsia="宋体" w:cs="宋体"/>
                <w:b/>
                <w:bCs/>
                <w:i w:val="0"/>
                <w:iCs w:val="0"/>
                <w:color w:val="FF0000"/>
                <w:kern w:val="2"/>
                <w:sz w:val="21"/>
                <w:szCs w:val="21"/>
                <w:highlight w:val="none"/>
                <w:u w:val="none"/>
              </w:rPr>
            </w:pPr>
            <w:r>
              <w:rPr>
                <w:rFonts w:hint="eastAsia" w:ascii="宋体" w:hAnsi="宋体" w:eastAsia="宋体" w:cs="宋体"/>
                <w:b/>
                <w:bCs/>
                <w:i w:val="0"/>
                <w:iCs w:val="0"/>
                <w:color w:val="FF0000"/>
                <w:kern w:val="0"/>
                <w:sz w:val="21"/>
                <w:szCs w:val="21"/>
                <w:highlight w:val="none"/>
                <w:u w:val="none"/>
                <w:lang w:val="en-US" w:eastAsia="zh-CN" w:bidi="ar"/>
              </w:rPr>
              <w:t>20050</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498122A7">
            <w:pPr>
              <w:jc w:val="center"/>
              <w:rPr>
                <w:rFonts w:hint="eastAsia" w:ascii="宋体" w:hAnsi="宋体" w:eastAsia="宋体" w:cs="宋体"/>
                <w:b/>
                <w:bCs/>
                <w:i w:val="0"/>
                <w:iCs w:val="0"/>
                <w:color w:val="000000"/>
                <w:kern w:val="2"/>
                <w:sz w:val="21"/>
                <w:szCs w:val="21"/>
                <w:highlight w:val="none"/>
                <w:u w:val="none"/>
              </w:rPr>
            </w:pPr>
          </w:p>
        </w:tc>
        <w:tc>
          <w:tcPr>
            <w:tcW w:w="1378" w:type="dxa"/>
            <w:tcBorders>
              <w:top w:val="single" w:color="000000" w:sz="4" w:space="0"/>
              <w:left w:val="single" w:color="000000" w:sz="4" w:space="0"/>
              <w:bottom w:val="single" w:color="000000" w:sz="4" w:space="0"/>
              <w:right w:val="single" w:color="000000" w:sz="4" w:space="0"/>
            </w:tcBorders>
            <w:noWrap w:val="0"/>
            <w:vAlign w:val="center"/>
          </w:tcPr>
          <w:p w14:paraId="1F610494">
            <w:pPr>
              <w:jc w:val="center"/>
              <w:rPr>
                <w:rFonts w:hint="eastAsia" w:ascii="宋体" w:hAnsi="宋体" w:eastAsia="宋体" w:cs="宋体"/>
                <w:b/>
                <w:bCs/>
                <w:i w:val="0"/>
                <w:iCs w:val="0"/>
                <w:color w:val="000000"/>
                <w:kern w:val="2"/>
                <w:sz w:val="21"/>
                <w:szCs w:val="21"/>
                <w:highlight w:val="none"/>
                <w:u w:val="none"/>
              </w:rPr>
            </w:pPr>
          </w:p>
        </w:tc>
        <w:tc>
          <w:tcPr>
            <w:tcW w:w="1115" w:type="dxa"/>
            <w:tcBorders>
              <w:top w:val="single" w:color="000000" w:sz="4" w:space="0"/>
              <w:left w:val="nil"/>
              <w:bottom w:val="single" w:color="000000" w:sz="4" w:space="0"/>
              <w:right w:val="single" w:color="000000" w:sz="4" w:space="0"/>
            </w:tcBorders>
            <w:noWrap/>
            <w:vAlign w:val="center"/>
          </w:tcPr>
          <w:p w14:paraId="3E76CA30">
            <w:pPr>
              <w:jc w:val="center"/>
              <w:rPr>
                <w:rFonts w:hint="eastAsia" w:ascii="宋体" w:hAnsi="宋体" w:eastAsia="宋体" w:cs="宋体"/>
                <w:i w:val="0"/>
                <w:iCs w:val="0"/>
                <w:color w:val="000000"/>
                <w:kern w:val="2"/>
                <w:sz w:val="22"/>
                <w:szCs w:val="22"/>
                <w:highlight w:val="none"/>
                <w:u w:val="none"/>
              </w:rPr>
            </w:pPr>
          </w:p>
        </w:tc>
      </w:tr>
      <w:tr w14:paraId="2E15F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55" w:type="dxa"/>
            <w:tcBorders>
              <w:top w:val="single" w:color="000000" w:sz="4" w:space="0"/>
              <w:left w:val="single" w:color="000000" w:sz="4" w:space="0"/>
              <w:bottom w:val="single" w:color="000000" w:sz="4" w:space="0"/>
              <w:right w:val="single" w:color="000000" w:sz="4" w:space="0"/>
            </w:tcBorders>
            <w:noWrap/>
            <w:vAlign w:val="center"/>
          </w:tcPr>
          <w:p w14:paraId="4CC60518">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686" w:type="dxa"/>
            <w:tcBorders>
              <w:top w:val="single" w:color="000000" w:sz="4" w:space="0"/>
              <w:left w:val="single" w:color="000000" w:sz="4" w:space="0"/>
              <w:bottom w:val="single" w:color="000000" w:sz="4" w:space="0"/>
              <w:right w:val="single" w:color="000000" w:sz="4" w:space="0"/>
            </w:tcBorders>
            <w:noWrap/>
            <w:vAlign w:val="center"/>
          </w:tcPr>
          <w:p w14:paraId="65596FD4">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华林路</w:t>
            </w:r>
          </w:p>
        </w:tc>
        <w:tc>
          <w:tcPr>
            <w:tcW w:w="1854" w:type="dxa"/>
            <w:tcBorders>
              <w:top w:val="single" w:color="000000" w:sz="4" w:space="0"/>
              <w:left w:val="single" w:color="000000" w:sz="4" w:space="0"/>
              <w:bottom w:val="single" w:color="000000" w:sz="4" w:space="0"/>
              <w:right w:val="single" w:color="000000" w:sz="4" w:space="0"/>
            </w:tcBorders>
            <w:noWrap w:val="0"/>
            <w:vAlign w:val="center"/>
          </w:tcPr>
          <w:p w14:paraId="200D4E4A">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两侧（红旗圩双桥-S340）</w:t>
            </w:r>
          </w:p>
        </w:tc>
        <w:tc>
          <w:tcPr>
            <w:tcW w:w="1487" w:type="dxa"/>
            <w:tcBorders>
              <w:top w:val="single" w:color="000000" w:sz="4" w:space="0"/>
              <w:left w:val="single" w:color="000000" w:sz="4" w:space="0"/>
              <w:bottom w:val="single" w:color="000000" w:sz="4" w:space="0"/>
              <w:right w:val="single" w:color="000000" w:sz="4" w:space="0"/>
            </w:tcBorders>
            <w:noWrap/>
            <w:vAlign w:val="center"/>
          </w:tcPr>
          <w:p w14:paraId="1671F48B">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8050</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016DAAD7">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四级</w:t>
            </w:r>
          </w:p>
        </w:tc>
        <w:tc>
          <w:tcPr>
            <w:tcW w:w="1378" w:type="dxa"/>
            <w:tcBorders>
              <w:top w:val="single" w:color="000000" w:sz="4" w:space="0"/>
              <w:left w:val="single" w:color="000000" w:sz="4" w:space="0"/>
              <w:bottom w:val="single" w:color="000000" w:sz="4" w:space="0"/>
              <w:right w:val="single" w:color="000000" w:sz="4" w:space="0"/>
            </w:tcBorders>
            <w:noWrap w:val="0"/>
            <w:vAlign w:val="center"/>
          </w:tcPr>
          <w:p w14:paraId="62427EA6">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有树有灌木</w:t>
            </w:r>
          </w:p>
        </w:tc>
        <w:tc>
          <w:tcPr>
            <w:tcW w:w="1115" w:type="dxa"/>
            <w:tcBorders>
              <w:top w:val="single" w:color="000000" w:sz="4" w:space="0"/>
              <w:left w:val="nil"/>
              <w:bottom w:val="single" w:color="000000" w:sz="4" w:space="0"/>
              <w:right w:val="single" w:color="000000" w:sz="4" w:space="0"/>
            </w:tcBorders>
            <w:noWrap/>
            <w:vAlign w:val="center"/>
          </w:tcPr>
          <w:p w14:paraId="219D1EB2">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r>
      <w:tr w14:paraId="640CD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55" w:type="dxa"/>
            <w:tcBorders>
              <w:top w:val="single" w:color="000000" w:sz="4" w:space="0"/>
              <w:left w:val="single" w:color="000000" w:sz="4" w:space="0"/>
              <w:bottom w:val="single" w:color="000000" w:sz="4" w:space="0"/>
              <w:right w:val="single" w:color="000000" w:sz="4" w:space="0"/>
            </w:tcBorders>
            <w:noWrap/>
            <w:vAlign w:val="center"/>
          </w:tcPr>
          <w:p w14:paraId="5E4F00F0">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1686" w:type="dxa"/>
            <w:tcBorders>
              <w:top w:val="single" w:color="000000" w:sz="4" w:space="0"/>
              <w:left w:val="single" w:color="000000" w:sz="4" w:space="0"/>
              <w:bottom w:val="single" w:color="000000" w:sz="4" w:space="0"/>
              <w:right w:val="single" w:color="000000" w:sz="4" w:space="0"/>
            </w:tcBorders>
            <w:noWrap/>
            <w:vAlign w:val="center"/>
          </w:tcPr>
          <w:p w14:paraId="096AC958">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朱林大街</w:t>
            </w:r>
          </w:p>
        </w:tc>
        <w:tc>
          <w:tcPr>
            <w:tcW w:w="1854" w:type="dxa"/>
            <w:tcBorders>
              <w:top w:val="single" w:color="000000" w:sz="4" w:space="0"/>
              <w:left w:val="single" w:color="000000" w:sz="4" w:space="0"/>
              <w:bottom w:val="single" w:color="000000" w:sz="4" w:space="0"/>
              <w:right w:val="single" w:color="000000" w:sz="4" w:space="0"/>
            </w:tcBorders>
            <w:noWrap w:val="0"/>
            <w:vAlign w:val="center"/>
          </w:tcPr>
          <w:p w14:paraId="66C29029">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两侧、中间</w:t>
            </w:r>
          </w:p>
        </w:tc>
        <w:tc>
          <w:tcPr>
            <w:tcW w:w="1487" w:type="dxa"/>
            <w:tcBorders>
              <w:top w:val="single" w:color="000000" w:sz="4" w:space="0"/>
              <w:left w:val="single" w:color="000000" w:sz="4" w:space="0"/>
              <w:bottom w:val="single" w:color="000000" w:sz="4" w:space="0"/>
              <w:right w:val="single" w:color="000000" w:sz="4" w:space="0"/>
            </w:tcBorders>
            <w:noWrap/>
            <w:vAlign w:val="center"/>
          </w:tcPr>
          <w:p w14:paraId="20D28DF8">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4200</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7ED5107F">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四级</w:t>
            </w:r>
          </w:p>
        </w:tc>
        <w:tc>
          <w:tcPr>
            <w:tcW w:w="1378" w:type="dxa"/>
            <w:tcBorders>
              <w:top w:val="single" w:color="000000" w:sz="4" w:space="0"/>
              <w:left w:val="single" w:color="000000" w:sz="4" w:space="0"/>
              <w:bottom w:val="single" w:color="000000" w:sz="4" w:space="0"/>
              <w:right w:val="single" w:color="000000" w:sz="4" w:space="0"/>
            </w:tcBorders>
            <w:noWrap w:val="0"/>
            <w:vAlign w:val="center"/>
          </w:tcPr>
          <w:p w14:paraId="676D6B4F">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有树有灌木</w:t>
            </w:r>
          </w:p>
        </w:tc>
        <w:tc>
          <w:tcPr>
            <w:tcW w:w="1115" w:type="dxa"/>
            <w:tcBorders>
              <w:top w:val="single" w:color="000000" w:sz="4" w:space="0"/>
              <w:left w:val="nil"/>
              <w:bottom w:val="single" w:color="000000" w:sz="4" w:space="0"/>
              <w:right w:val="single" w:color="000000" w:sz="4" w:space="0"/>
            </w:tcBorders>
            <w:noWrap/>
            <w:vAlign w:val="center"/>
          </w:tcPr>
          <w:p w14:paraId="331A37EA">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580</w:t>
            </w:r>
          </w:p>
        </w:tc>
      </w:tr>
      <w:tr w14:paraId="39257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55" w:type="dxa"/>
            <w:tcBorders>
              <w:top w:val="single" w:color="000000" w:sz="4" w:space="0"/>
              <w:left w:val="single" w:color="000000" w:sz="4" w:space="0"/>
              <w:bottom w:val="single" w:color="000000" w:sz="4" w:space="0"/>
              <w:right w:val="single" w:color="000000" w:sz="4" w:space="0"/>
            </w:tcBorders>
            <w:noWrap/>
            <w:vAlign w:val="center"/>
          </w:tcPr>
          <w:p w14:paraId="364A016A">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1686" w:type="dxa"/>
            <w:tcBorders>
              <w:top w:val="single" w:color="000000" w:sz="4" w:space="0"/>
              <w:left w:val="single" w:color="000000" w:sz="4" w:space="0"/>
              <w:bottom w:val="single" w:color="000000" w:sz="4" w:space="0"/>
              <w:right w:val="single" w:color="000000" w:sz="4" w:space="0"/>
            </w:tcBorders>
            <w:noWrap/>
            <w:vAlign w:val="center"/>
          </w:tcPr>
          <w:p w14:paraId="415FDF42">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集镇所有花池</w:t>
            </w:r>
          </w:p>
        </w:tc>
        <w:tc>
          <w:tcPr>
            <w:tcW w:w="1854" w:type="dxa"/>
            <w:tcBorders>
              <w:top w:val="single" w:color="000000" w:sz="4" w:space="0"/>
              <w:left w:val="single" w:color="000000" w:sz="4" w:space="0"/>
              <w:bottom w:val="single" w:color="000000" w:sz="4" w:space="0"/>
              <w:right w:val="single" w:color="000000" w:sz="4" w:space="0"/>
            </w:tcBorders>
            <w:noWrap w:val="0"/>
            <w:vAlign w:val="center"/>
          </w:tcPr>
          <w:p w14:paraId="7A5E99E6">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集镇</w:t>
            </w:r>
          </w:p>
        </w:tc>
        <w:tc>
          <w:tcPr>
            <w:tcW w:w="1487" w:type="dxa"/>
            <w:tcBorders>
              <w:top w:val="single" w:color="000000" w:sz="4" w:space="0"/>
              <w:left w:val="single" w:color="000000" w:sz="4" w:space="0"/>
              <w:bottom w:val="single" w:color="000000" w:sz="4" w:space="0"/>
              <w:right w:val="single" w:color="000000" w:sz="4" w:space="0"/>
            </w:tcBorders>
            <w:noWrap/>
            <w:vAlign w:val="center"/>
          </w:tcPr>
          <w:p w14:paraId="417D7F3D">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1000</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60842D2C">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四级</w:t>
            </w:r>
          </w:p>
        </w:tc>
        <w:tc>
          <w:tcPr>
            <w:tcW w:w="1378" w:type="dxa"/>
            <w:tcBorders>
              <w:top w:val="single" w:color="000000" w:sz="4" w:space="0"/>
              <w:left w:val="single" w:color="000000" w:sz="4" w:space="0"/>
              <w:bottom w:val="single" w:color="000000" w:sz="4" w:space="0"/>
              <w:right w:val="single" w:color="000000" w:sz="4" w:space="0"/>
            </w:tcBorders>
            <w:noWrap w:val="0"/>
            <w:vAlign w:val="center"/>
          </w:tcPr>
          <w:p w14:paraId="1B3296F8">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灌木</w:t>
            </w:r>
          </w:p>
        </w:tc>
        <w:tc>
          <w:tcPr>
            <w:tcW w:w="1115" w:type="dxa"/>
            <w:tcBorders>
              <w:top w:val="single" w:color="000000" w:sz="4" w:space="0"/>
              <w:left w:val="nil"/>
              <w:bottom w:val="single" w:color="000000" w:sz="4" w:space="0"/>
              <w:right w:val="single" w:color="000000" w:sz="4" w:space="0"/>
            </w:tcBorders>
            <w:noWrap/>
            <w:vAlign w:val="center"/>
          </w:tcPr>
          <w:p w14:paraId="3012B7E9">
            <w:pPr>
              <w:jc w:val="center"/>
              <w:rPr>
                <w:rFonts w:hint="eastAsia" w:ascii="宋体" w:hAnsi="宋体" w:eastAsia="宋体" w:cs="宋体"/>
                <w:i w:val="0"/>
                <w:iCs w:val="0"/>
                <w:color w:val="000000"/>
                <w:kern w:val="2"/>
                <w:sz w:val="22"/>
                <w:szCs w:val="22"/>
                <w:highlight w:val="none"/>
                <w:u w:val="none"/>
              </w:rPr>
            </w:pPr>
          </w:p>
        </w:tc>
      </w:tr>
      <w:tr w14:paraId="3D2A4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55" w:type="dxa"/>
            <w:tcBorders>
              <w:top w:val="single" w:color="000000" w:sz="4" w:space="0"/>
              <w:left w:val="single" w:color="000000" w:sz="4" w:space="0"/>
              <w:bottom w:val="single" w:color="000000" w:sz="4" w:space="0"/>
              <w:right w:val="single" w:color="000000" w:sz="4" w:space="0"/>
            </w:tcBorders>
            <w:noWrap/>
            <w:vAlign w:val="center"/>
          </w:tcPr>
          <w:p w14:paraId="19A7D4FE">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1686" w:type="dxa"/>
            <w:tcBorders>
              <w:top w:val="single" w:color="000000" w:sz="4" w:space="0"/>
              <w:left w:val="single" w:color="000000" w:sz="4" w:space="0"/>
              <w:bottom w:val="single" w:color="000000" w:sz="4" w:space="0"/>
              <w:right w:val="single" w:color="000000" w:sz="4" w:space="0"/>
            </w:tcBorders>
            <w:noWrap/>
            <w:vAlign w:val="center"/>
          </w:tcPr>
          <w:p w14:paraId="01D70085">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镇区小游园</w:t>
            </w:r>
          </w:p>
        </w:tc>
        <w:tc>
          <w:tcPr>
            <w:tcW w:w="1854" w:type="dxa"/>
            <w:tcBorders>
              <w:top w:val="single" w:color="000000" w:sz="4" w:space="0"/>
              <w:left w:val="single" w:color="000000" w:sz="4" w:space="0"/>
              <w:bottom w:val="single" w:color="000000" w:sz="4" w:space="0"/>
              <w:right w:val="single" w:color="000000" w:sz="4" w:space="0"/>
            </w:tcBorders>
            <w:noWrap w:val="0"/>
            <w:vAlign w:val="center"/>
          </w:tcPr>
          <w:p w14:paraId="2C2C54B5">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朱林村委对面</w:t>
            </w:r>
          </w:p>
        </w:tc>
        <w:tc>
          <w:tcPr>
            <w:tcW w:w="1487" w:type="dxa"/>
            <w:tcBorders>
              <w:top w:val="single" w:color="000000" w:sz="4" w:space="0"/>
              <w:left w:val="single" w:color="000000" w:sz="4" w:space="0"/>
              <w:bottom w:val="single" w:color="000000" w:sz="4" w:space="0"/>
              <w:right w:val="single" w:color="000000" w:sz="4" w:space="0"/>
            </w:tcBorders>
            <w:noWrap/>
            <w:vAlign w:val="center"/>
          </w:tcPr>
          <w:p w14:paraId="23E6A004">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3000</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2B3F5388">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四级</w:t>
            </w:r>
          </w:p>
        </w:tc>
        <w:tc>
          <w:tcPr>
            <w:tcW w:w="1378" w:type="dxa"/>
            <w:tcBorders>
              <w:top w:val="single" w:color="000000" w:sz="4" w:space="0"/>
              <w:left w:val="single" w:color="000000" w:sz="4" w:space="0"/>
              <w:bottom w:val="single" w:color="000000" w:sz="4" w:space="0"/>
              <w:right w:val="single" w:color="000000" w:sz="4" w:space="0"/>
            </w:tcBorders>
            <w:noWrap w:val="0"/>
            <w:vAlign w:val="center"/>
          </w:tcPr>
          <w:p w14:paraId="2A4FB52C">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有树有灌木</w:t>
            </w:r>
          </w:p>
        </w:tc>
        <w:tc>
          <w:tcPr>
            <w:tcW w:w="1115" w:type="dxa"/>
            <w:tcBorders>
              <w:top w:val="single" w:color="000000" w:sz="4" w:space="0"/>
              <w:left w:val="nil"/>
              <w:bottom w:val="single" w:color="000000" w:sz="4" w:space="0"/>
              <w:right w:val="single" w:color="000000" w:sz="4" w:space="0"/>
            </w:tcBorders>
            <w:noWrap/>
            <w:vAlign w:val="center"/>
          </w:tcPr>
          <w:p w14:paraId="06E7B0C7">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8</w:t>
            </w:r>
          </w:p>
        </w:tc>
      </w:tr>
      <w:tr w14:paraId="5DC9E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55" w:type="dxa"/>
            <w:tcBorders>
              <w:top w:val="single" w:color="000000" w:sz="4" w:space="0"/>
              <w:left w:val="single" w:color="000000" w:sz="4" w:space="0"/>
              <w:bottom w:val="single" w:color="000000" w:sz="4" w:space="0"/>
              <w:right w:val="single" w:color="000000" w:sz="4" w:space="0"/>
            </w:tcBorders>
            <w:noWrap/>
            <w:vAlign w:val="center"/>
          </w:tcPr>
          <w:p w14:paraId="1FBB0403">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1686" w:type="dxa"/>
            <w:tcBorders>
              <w:top w:val="single" w:color="000000" w:sz="4" w:space="0"/>
              <w:left w:val="single" w:color="000000" w:sz="4" w:space="0"/>
              <w:bottom w:val="single" w:color="000000" w:sz="4" w:space="0"/>
              <w:right w:val="single" w:color="000000" w:sz="4" w:space="0"/>
            </w:tcBorders>
            <w:noWrap/>
            <w:vAlign w:val="center"/>
          </w:tcPr>
          <w:p w14:paraId="5D407AFE">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集镇所有行道树</w:t>
            </w:r>
          </w:p>
        </w:tc>
        <w:tc>
          <w:tcPr>
            <w:tcW w:w="1854" w:type="dxa"/>
            <w:tcBorders>
              <w:top w:val="single" w:color="000000" w:sz="4" w:space="0"/>
              <w:left w:val="single" w:color="000000" w:sz="4" w:space="0"/>
              <w:bottom w:val="single" w:color="000000" w:sz="4" w:space="0"/>
              <w:right w:val="single" w:color="000000" w:sz="4" w:space="0"/>
            </w:tcBorders>
            <w:noWrap w:val="0"/>
            <w:vAlign w:val="center"/>
          </w:tcPr>
          <w:p w14:paraId="4E88CBB1">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文化路、人民街、朱延路</w:t>
            </w:r>
          </w:p>
        </w:tc>
        <w:tc>
          <w:tcPr>
            <w:tcW w:w="1487" w:type="dxa"/>
            <w:tcBorders>
              <w:top w:val="single" w:color="000000" w:sz="4" w:space="0"/>
              <w:left w:val="single" w:color="000000" w:sz="4" w:space="0"/>
              <w:bottom w:val="single" w:color="000000" w:sz="4" w:space="0"/>
              <w:right w:val="single" w:color="000000" w:sz="4" w:space="0"/>
            </w:tcBorders>
            <w:noWrap/>
            <w:vAlign w:val="center"/>
          </w:tcPr>
          <w:p w14:paraId="7653F74B">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1500</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25EEA8F4">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四级</w:t>
            </w:r>
          </w:p>
        </w:tc>
        <w:tc>
          <w:tcPr>
            <w:tcW w:w="1378" w:type="dxa"/>
            <w:tcBorders>
              <w:top w:val="single" w:color="000000" w:sz="4" w:space="0"/>
              <w:left w:val="single" w:color="000000" w:sz="4" w:space="0"/>
              <w:bottom w:val="single" w:color="000000" w:sz="4" w:space="0"/>
              <w:right w:val="single" w:color="000000" w:sz="4" w:space="0"/>
            </w:tcBorders>
            <w:noWrap w:val="0"/>
            <w:vAlign w:val="center"/>
          </w:tcPr>
          <w:p w14:paraId="6C8AD82E">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有树有灌木</w:t>
            </w:r>
          </w:p>
        </w:tc>
        <w:tc>
          <w:tcPr>
            <w:tcW w:w="1115" w:type="dxa"/>
            <w:tcBorders>
              <w:top w:val="single" w:color="000000" w:sz="4" w:space="0"/>
              <w:left w:val="nil"/>
              <w:bottom w:val="single" w:color="000000" w:sz="4" w:space="0"/>
              <w:right w:val="single" w:color="000000" w:sz="4" w:space="0"/>
            </w:tcBorders>
            <w:noWrap/>
            <w:vAlign w:val="center"/>
          </w:tcPr>
          <w:p w14:paraId="561148AE">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80</w:t>
            </w:r>
          </w:p>
        </w:tc>
      </w:tr>
      <w:tr w14:paraId="2640F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55" w:type="dxa"/>
            <w:tcBorders>
              <w:top w:val="single" w:color="000000" w:sz="4" w:space="0"/>
              <w:left w:val="single" w:color="000000" w:sz="4" w:space="0"/>
              <w:bottom w:val="single" w:color="000000" w:sz="4" w:space="0"/>
              <w:right w:val="single" w:color="000000" w:sz="4" w:space="0"/>
            </w:tcBorders>
            <w:noWrap/>
            <w:vAlign w:val="center"/>
          </w:tcPr>
          <w:p w14:paraId="246361D4">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1686" w:type="dxa"/>
            <w:tcBorders>
              <w:top w:val="single" w:color="000000" w:sz="4" w:space="0"/>
              <w:left w:val="single" w:color="000000" w:sz="4" w:space="0"/>
              <w:bottom w:val="single" w:color="000000" w:sz="4" w:space="0"/>
              <w:right w:val="single" w:color="000000" w:sz="4" w:space="0"/>
            </w:tcBorders>
            <w:noWrap/>
            <w:vAlign w:val="center"/>
          </w:tcPr>
          <w:p w14:paraId="4B0B2E69">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政府大院内</w:t>
            </w:r>
          </w:p>
        </w:tc>
        <w:tc>
          <w:tcPr>
            <w:tcW w:w="1854" w:type="dxa"/>
            <w:tcBorders>
              <w:top w:val="single" w:color="000000" w:sz="4" w:space="0"/>
              <w:left w:val="single" w:color="000000" w:sz="4" w:space="0"/>
              <w:bottom w:val="single" w:color="000000" w:sz="4" w:space="0"/>
              <w:right w:val="single" w:color="000000" w:sz="4" w:space="0"/>
            </w:tcBorders>
            <w:noWrap w:val="0"/>
            <w:vAlign w:val="center"/>
          </w:tcPr>
          <w:p w14:paraId="0DE9E1C4">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一处</w:t>
            </w:r>
          </w:p>
        </w:tc>
        <w:tc>
          <w:tcPr>
            <w:tcW w:w="1487" w:type="dxa"/>
            <w:tcBorders>
              <w:top w:val="single" w:color="000000" w:sz="4" w:space="0"/>
              <w:left w:val="single" w:color="000000" w:sz="4" w:space="0"/>
              <w:bottom w:val="single" w:color="000000" w:sz="4" w:space="0"/>
              <w:right w:val="single" w:color="000000" w:sz="4" w:space="0"/>
            </w:tcBorders>
            <w:noWrap/>
            <w:vAlign w:val="center"/>
          </w:tcPr>
          <w:p w14:paraId="7A81091E">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500</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69EEDAA9">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四级</w:t>
            </w:r>
          </w:p>
        </w:tc>
        <w:tc>
          <w:tcPr>
            <w:tcW w:w="1378" w:type="dxa"/>
            <w:tcBorders>
              <w:top w:val="single" w:color="000000" w:sz="4" w:space="0"/>
              <w:left w:val="single" w:color="000000" w:sz="4" w:space="0"/>
              <w:bottom w:val="single" w:color="000000" w:sz="4" w:space="0"/>
              <w:right w:val="single" w:color="000000" w:sz="4" w:space="0"/>
            </w:tcBorders>
            <w:noWrap w:val="0"/>
            <w:vAlign w:val="center"/>
          </w:tcPr>
          <w:p w14:paraId="4AB7E968">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树</w:t>
            </w:r>
          </w:p>
        </w:tc>
        <w:tc>
          <w:tcPr>
            <w:tcW w:w="1115" w:type="dxa"/>
            <w:tcBorders>
              <w:top w:val="single" w:color="000000" w:sz="4" w:space="0"/>
              <w:left w:val="nil"/>
              <w:bottom w:val="single" w:color="000000" w:sz="4" w:space="0"/>
              <w:right w:val="single" w:color="000000" w:sz="4" w:space="0"/>
            </w:tcBorders>
            <w:noWrap/>
            <w:vAlign w:val="center"/>
          </w:tcPr>
          <w:p w14:paraId="51C17E21">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17</w:t>
            </w:r>
          </w:p>
        </w:tc>
      </w:tr>
      <w:tr w14:paraId="06AF2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55" w:type="dxa"/>
            <w:tcBorders>
              <w:top w:val="single" w:color="000000" w:sz="4" w:space="0"/>
              <w:left w:val="single" w:color="000000" w:sz="4" w:space="0"/>
              <w:bottom w:val="single" w:color="000000" w:sz="4" w:space="0"/>
              <w:right w:val="single" w:color="000000" w:sz="4" w:space="0"/>
            </w:tcBorders>
            <w:noWrap/>
            <w:vAlign w:val="center"/>
          </w:tcPr>
          <w:p w14:paraId="6B4CF0B9">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w:t>
            </w:r>
          </w:p>
        </w:tc>
        <w:tc>
          <w:tcPr>
            <w:tcW w:w="1686" w:type="dxa"/>
            <w:tcBorders>
              <w:top w:val="single" w:color="000000" w:sz="4" w:space="0"/>
              <w:left w:val="single" w:color="000000" w:sz="4" w:space="0"/>
              <w:bottom w:val="single" w:color="000000" w:sz="4" w:space="0"/>
              <w:right w:val="single" w:color="000000" w:sz="4" w:space="0"/>
            </w:tcBorders>
            <w:noWrap/>
            <w:vAlign w:val="center"/>
          </w:tcPr>
          <w:p w14:paraId="2F089159">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中心家园</w:t>
            </w:r>
          </w:p>
        </w:tc>
        <w:tc>
          <w:tcPr>
            <w:tcW w:w="1854" w:type="dxa"/>
            <w:tcBorders>
              <w:top w:val="single" w:color="000000" w:sz="4" w:space="0"/>
              <w:left w:val="single" w:color="000000" w:sz="4" w:space="0"/>
              <w:bottom w:val="single" w:color="000000" w:sz="4" w:space="0"/>
              <w:right w:val="single" w:color="000000" w:sz="4" w:space="0"/>
            </w:tcBorders>
            <w:noWrap w:val="0"/>
            <w:vAlign w:val="center"/>
          </w:tcPr>
          <w:p w14:paraId="321B5180">
            <w:pPr>
              <w:jc w:val="center"/>
              <w:rPr>
                <w:rFonts w:hint="eastAsia" w:ascii="宋体" w:hAnsi="宋体" w:eastAsia="宋体" w:cs="宋体"/>
                <w:i w:val="0"/>
                <w:iCs w:val="0"/>
                <w:color w:val="000000"/>
                <w:kern w:val="2"/>
                <w:sz w:val="21"/>
                <w:szCs w:val="21"/>
                <w:highlight w:val="none"/>
                <w:u w:val="none"/>
              </w:rPr>
            </w:pPr>
          </w:p>
        </w:tc>
        <w:tc>
          <w:tcPr>
            <w:tcW w:w="1487" w:type="dxa"/>
            <w:tcBorders>
              <w:top w:val="single" w:color="000000" w:sz="4" w:space="0"/>
              <w:left w:val="single" w:color="000000" w:sz="4" w:space="0"/>
              <w:bottom w:val="single" w:color="000000" w:sz="4" w:space="0"/>
              <w:right w:val="single" w:color="000000" w:sz="4" w:space="0"/>
            </w:tcBorders>
            <w:noWrap/>
            <w:vAlign w:val="center"/>
          </w:tcPr>
          <w:p w14:paraId="410DB3DB">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300</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54029CAB">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四级</w:t>
            </w:r>
          </w:p>
        </w:tc>
        <w:tc>
          <w:tcPr>
            <w:tcW w:w="1378" w:type="dxa"/>
            <w:tcBorders>
              <w:top w:val="single" w:color="000000" w:sz="4" w:space="0"/>
              <w:left w:val="single" w:color="000000" w:sz="4" w:space="0"/>
              <w:bottom w:val="single" w:color="000000" w:sz="4" w:space="0"/>
              <w:right w:val="single" w:color="000000" w:sz="4" w:space="0"/>
            </w:tcBorders>
            <w:noWrap w:val="0"/>
            <w:vAlign w:val="center"/>
          </w:tcPr>
          <w:p w14:paraId="1B694A42">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灌木</w:t>
            </w:r>
          </w:p>
        </w:tc>
        <w:tc>
          <w:tcPr>
            <w:tcW w:w="1115" w:type="dxa"/>
            <w:tcBorders>
              <w:top w:val="single" w:color="000000" w:sz="4" w:space="0"/>
              <w:left w:val="nil"/>
              <w:bottom w:val="single" w:color="000000" w:sz="4" w:space="0"/>
              <w:right w:val="single" w:color="000000" w:sz="4" w:space="0"/>
            </w:tcBorders>
            <w:noWrap/>
            <w:vAlign w:val="center"/>
          </w:tcPr>
          <w:p w14:paraId="4BA1452D">
            <w:pPr>
              <w:jc w:val="center"/>
              <w:rPr>
                <w:rFonts w:hint="eastAsia" w:ascii="宋体" w:hAnsi="宋体" w:eastAsia="宋体" w:cs="宋体"/>
                <w:i w:val="0"/>
                <w:iCs w:val="0"/>
                <w:color w:val="000000"/>
                <w:kern w:val="2"/>
                <w:sz w:val="22"/>
                <w:szCs w:val="22"/>
                <w:highlight w:val="none"/>
                <w:u w:val="none"/>
              </w:rPr>
            </w:pPr>
          </w:p>
        </w:tc>
      </w:tr>
      <w:tr w14:paraId="18EA0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55" w:type="dxa"/>
            <w:tcBorders>
              <w:top w:val="single" w:color="000000" w:sz="4" w:space="0"/>
              <w:left w:val="single" w:color="000000" w:sz="4" w:space="0"/>
              <w:bottom w:val="single" w:color="000000" w:sz="4" w:space="0"/>
              <w:right w:val="single" w:color="000000" w:sz="4" w:space="0"/>
            </w:tcBorders>
            <w:noWrap/>
            <w:vAlign w:val="center"/>
          </w:tcPr>
          <w:p w14:paraId="1C17C0FC">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w:t>
            </w:r>
          </w:p>
        </w:tc>
        <w:tc>
          <w:tcPr>
            <w:tcW w:w="1686" w:type="dxa"/>
            <w:tcBorders>
              <w:top w:val="single" w:color="000000" w:sz="4" w:space="0"/>
              <w:left w:val="single" w:color="000000" w:sz="4" w:space="0"/>
              <w:bottom w:val="single" w:color="000000" w:sz="4" w:space="0"/>
              <w:right w:val="single" w:color="000000" w:sz="4" w:space="0"/>
            </w:tcBorders>
            <w:noWrap/>
            <w:vAlign w:val="center"/>
          </w:tcPr>
          <w:p w14:paraId="3B80E2BA">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晨风路</w:t>
            </w:r>
          </w:p>
        </w:tc>
        <w:tc>
          <w:tcPr>
            <w:tcW w:w="1854" w:type="dxa"/>
            <w:tcBorders>
              <w:top w:val="single" w:color="000000" w:sz="4" w:space="0"/>
              <w:left w:val="single" w:color="000000" w:sz="4" w:space="0"/>
              <w:bottom w:val="single" w:color="000000" w:sz="4" w:space="0"/>
              <w:right w:val="single" w:color="000000" w:sz="4" w:space="0"/>
            </w:tcBorders>
            <w:noWrap w:val="0"/>
            <w:vAlign w:val="center"/>
          </w:tcPr>
          <w:p w14:paraId="6EE6157D">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两侧</w:t>
            </w:r>
          </w:p>
        </w:tc>
        <w:tc>
          <w:tcPr>
            <w:tcW w:w="1487" w:type="dxa"/>
            <w:tcBorders>
              <w:top w:val="single" w:color="000000" w:sz="4" w:space="0"/>
              <w:left w:val="single" w:color="000000" w:sz="4" w:space="0"/>
              <w:bottom w:val="single" w:color="000000" w:sz="4" w:space="0"/>
              <w:right w:val="single" w:color="000000" w:sz="4" w:space="0"/>
            </w:tcBorders>
            <w:noWrap/>
            <w:vAlign w:val="center"/>
          </w:tcPr>
          <w:p w14:paraId="79E7BC08">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1500</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36122BF2">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四级</w:t>
            </w:r>
          </w:p>
        </w:tc>
        <w:tc>
          <w:tcPr>
            <w:tcW w:w="1378" w:type="dxa"/>
            <w:tcBorders>
              <w:top w:val="single" w:color="000000" w:sz="4" w:space="0"/>
              <w:left w:val="single" w:color="000000" w:sz="4" w:space="0"/>
              <w:bottom w:val="single" w:color="000000" w:sz="4" w:space="0"/>
              <w:right w:val="single" w:color="000000" w:sz="4" w:space="0"/>
            </w:tcBorders>
            <w:noWrap w:val="0"/>
            <w:vAlign w:val="center"/>
          </w:tcPr>
          <w:p w14:paraId="298B3199">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有树有灌木</w:t>
            </w:r>
          </w:p>
        </w:tc>
        <w:tc>
          <w:tcPr>
            <w:tcW w:w="1115" w:type="dxa"/>
            <w:tcBorders>
              <w:top w:val="single" w:color="000000" w:sz="4" w:space="0"/>
              <w:left w:val="nil"/>
              <w:bottom w:val="single" w:color="000000" w:sz="4" w:space="0"/>
              <w:right w:val="single" w:color="000000" w:sz="4" w:space="0"/>
            </w:tcBorders>
            <w:noWrap/>
            <w:vAlign w:val="center"/>
          </w:tcPr>
          <w:p w14:paraId="2774C2FA">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66</w:t>
            </w:r>
          </w:p>
        </w:tc>
      </w:tr>
      <w:tr w14:paraId="68E57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55" w:type="dxa"/>
            <w:tcBorders>
              <w:top w:val="single" w:color="000000" w:sz="4" w:space="0"/>
              <w:left w:val="single" w:color="000000" w:sz="4" w:space="0"/>
              <w:bottom w:val="single" w:color="000000" w:sz="4" w:space="0"/>
              <w:right w:val="single" w:color="000000" w:sz="4" w:space="0"/>
            </w:tcBorders>
            <w:noWrap/>
            <w:vAlign w:val="center"/>
          </w:tcPr>
          <w:p w14:paraId="0A3DD172">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二</w:t>
            </w:r>
          </w:p>
        </w:tc>
        <w:tc>
          <w:tcPr>
            <w:tcW w:w="1686" w:type="dxa"/>
            <w:tcBorders>
              <w:top w:val="single" w:color="000000" w:sz="4" w:space="0"/>
              <w:left w:val="single" w:color="000000" w:sz="4" w:space="0"/>
              <w:bottom w:val="single" w:color="000000" w:sz="4" w:space="0"/>
              <w:right w:val="single" w:color="000000" w:sz="4" w:space="0"/>
            </w:tcBorders>
            <w:noWrap/>
            <w:vAlign w:val="center"/>
          </w:tcPr>
          <w:p w14:paraId="11364559">
            <w:pPr>
              <w:keepNext w:val="0"/>
              <w:keepLines w:val="0"/>
              <w:widowControl/>
              <w:suppressLineNumbers w:val="0"/>
              <w:jc w:val="center"/>
              <w:textAlignment w:val="center"/>
              <w:rPr>
                <w:rFonts w:hint="eastAsia" w:ascii="宋体" w:hAnsi="宋体" w:eastAsia="宋体" w:cs="宋体"/>
                <w:b/>
                <w:bCs/>
                <w:i w:val="0"/>
                <w:iCs w:val="0"/>
                <w:color w:val="FF0000"/>
                <w:kern w:val="2"/>
                <w:sz w:val="21"/>
                <w:szCs w:val="21"/>
                <w:highlight w:val="none"/>
                <w:u w:val="none"/>
              </w:rPr>
            </w:pPr>
            <w:r>
              <w:rPr>
                <w:rFonts w:hint="eastAsia" w:ascii="宋体" w:hAnsi="宋体" w:eastAsia="宋体" w:cs="宋体"/>
                <w:b/>
                <w:bCs/>
                <w:i w:val="0"/>
                <w:iCs w:val="0"/>
                <w:color w:val="FF0000"/>
                <w:kern w:val="0"/>
                <w:sz w:val="21"/>
                <w:szCs w:val="21"/>
                <w:highlight w:val="none"/>
                <w:u w:val="none"/>
                <w:lang w:val="en-US" w:eastAsia="zh-CN" w:bidi="ar"/>
              </w:rPr>
              <w:t>园区段</w:t>
            </w:r>
          </w:p>
        </w:tc>
        <w:tc>
          <w:tcPr>
            <w:tcW w:w="1854" w:type="dxa"/>
            <w:tcBorders>
              <w:top w:val="single" w:color="000000" w:sz="4" w:space="0"/>
              <w:left w:val="single" w:color="000000" w:sz="4" w:space="0"/>
              <w:bottom w:val="single" w:color="000000" w:sz="4" w:space="0"/>
              <w:right w:val="single" w:color="000000" w:sz="4" w:space="0"/>
            </w:tcBorders>
            <w:noWrap w:val="0"/>
            <w:vAlign w:val="center"/>
          </w:tcPr>
          <w:p w14:paraId="7C625F2D">
            <w:pPr>
              <w:jc w:val="center"/>
              <w:rPr>
                <w:rFonts w:hint="eastAsia" w:ascii="宋体" w:hAnsi="宋体" w:eastAsia="宋体" w:cs="宋体"/>
                <w:b/>
                <w:bCs/>
                <w:i w:val="0"/>
                <w:iCs w:val="0"/>
                <w:color w:val="FF0000"/>
                <w:kern w:val="2"/>
                <w:sz w:val="21"/>
                <w:szCs w:val="21"/>
                <w:highlight w:val="none"/>
                <w:u w:val="none"/>
              </w:rPr>
            </w:pPr>
          </w:p>
        </w:tc>
        <w:tc>
          <w:tcPr>
            <w:tcW w:w="1487" w:type="dxa"/>
            <w:tcBorders>
              <w:top w:val="single" w:color="000000" w:sz="4" w:space="0"/>
              <w:left w:val="single" w:color="000000" w:sz="4" w:space="0"/>
              <w:bottom w:val="single" w:color="000000" w:sz="4" w:space="0"/>
              <w:right w:val="single" w:color="000000" w:sz="4" w:space="0"/>
            </w:tcBorders>
            <w:noWrap/>
            <w:vAlign w:val="center"/>
          </w:tcPr>
          <w:p w14:paraId="2D7EECC1">
            <w:pPr>
              <w:keepNext w:val="0"/>
              <w:keepLines w:val="0"/>
              <w:widowControl/>
              <w:suppressLineNumbers w:val="0"/>
              <w:jc w:val="center"/>
              <w:textAlignment w:val="center"/>
              <w:rPr>
                <w:rFonts w:hint="eastAsia" w:ascii="宋体" w:hAnsi="宋体" w:eastAsia="宋体" w:cs="宋体"/>
                <w:b/>
                <w:bCs/>
                <w:i w:val="0"/>
                <w:iCs w:val="0"/>
                <w:color w:val="FF0000"/>
                <w:kern w:val="2"/>
                <w:sz w:val="21"/>
                <w:szCs w:val="21"/>
                <w:highlight w:val="none"/>
                <w:u w:val="none"/>
              </w:rPr>
            </w:pPr>
            <w:r>
              <w:rPr>
                <w:rFonts w:hint="eastAsia" w:ascii="宋体" w:hAnsi="宋体" w:eastAsia="宋体" w:cs="宋体"/>
                <w:b/>
                <w:bCs/>
                <w:i w:val="0"/>
                <w:iCs w:val="0"/>
                <w:color w:val="FF0000"/>
                <w:kern w:val="0"/>
                <w:sz w:val="21"/>
                <w:szCs w:val="21"/>
                <w:highlight w:val="none"/>
                <w:u w:val="none"/>
                <w:lang w:val="en-US" w:eastAsia="zh-CN" w:bidi="ar"/>
              </w:rPr>
              <w:t>94100</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1AB86BB1">
            <w:pPr>
              <w:jc w:val="center"/>
              <w:rPr>
                <w:rFonts w:hint="eastAsia" w:ascii="宋体" w:hAnsi="宋体" w:eastAsia="宋体" w:cs="宋体"/>
                <w:b/>
                <w:bCs/>
                <w:i w:val="0"/>
                <w:iCs w:val="0"/>
                <w:color w:val="000000"/>
                <w:kern w:val="2"/>
                <w:sz w:val="21"/>
                <w:szCs w:val="21"/>
                <w:highlight w:val="none"/>
                <w:u w:val="none"/>
              </w:rPr>
            </w:pPr>
          </w:p>
        </w:tc>
        <w:tc>
          <w:tcPr>
            <w:tcW w:w="1378" w:type="dxa"/>
            <w:tcBorders>
              <w:top w:val="single" w:color="000000" w:sz="4" w:space="0"/>
              <w:left w:val="single" w:color="000000" w:sz="4" w:space="0"/>
              <w:bottom w:val="single" w:color="000000" w:sz="4" w:space="0"/>
              <w:right w:val="single" w:color="000000" w:sz="4" w:space="0"/>
            </w:tcBorders>
            <w:noWrap w:val="0"/>
            <w:vAlign w:val="center"/>
          </w:tcPr>
          <w:p w14:paraId="3EAA6A46">
            <w:pPr>
              <w:jc w:val="center"/>
              <w:rPr>
                <w:rFonts w:hint="eastAsia" w:ascii="宋体" w:hAnsi="宋体" w:eastAsia="宋体" w:cs="宋体"/>
                <w:i w:val="0"/>
                <w:iCs w:val="0"/>
                <w:color w:val="000000"/>
                <w:kern w:val="2"/>
                <w:sz w:val="22"/>
                <w:szCs w:val="22"/>
                <w:highlight w:val="none"/>
                <w:u w:val="none"/>
              </w:rPr>
            </w:pPr>
          </w:p>
        </w:tc>
        <w:tc>
          <w:tcPr>
            <w:tcW w:w="1115" w:type="dxa"/>
            <w:tcBorders>
              <w:top w:val="single" w:color="000000" w:sz="4" w:space="0"/>
              <w:left w:val="nil"/>
              <w:bottom w:val="single" w:color="000000" w:sz="4" w:space="0"/>
              <w:right w:val="single" w:color="000000" w:sz="4" w:space="0"/>
            </w:tcBorders>
            <w:noWrap/>
            <w:vAlign w:val="center"/>
          </w:tcPr>
          <w:p w14:paraId="44A834C9">
            <w:pPr>
              <w:jc w:val="center"/>
              <w:rPr>
                <w:rFonts w:hint="eastAsia" w:ascii="宋体" w:hAnsi="宋体" w:eastAsia="宋体" w:cs="宋体"/>
                <w:i w:val="0"/>
                <w:iCs w:val="0"/>
                <w:color w:val="000000"/>
                <w:kern w:val="2"/>
                <w:sz w:val="22"/>
                <w:szCs w:val="22"/>
                <w:highlight w:val="none"/>
                <w:u w:val="none"/>
              </w:rPr>
            </w:pPr>
          </w:p>
        </w:tc>
      </w:tr>
      <w:tr w14:paraId="0B3961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55" w:type="dxa"/>
            <w:tcBorders>
              <w:top w:val="single" w:color="000000" w:sz="4" w:space="0"/>
              <w:left w:val="single" w:color="000000" w:sz="4" w:space="0"/>
              <w:bottom w:val="single" w:color="000000" w:sz="4" w:space="0"/>
              <w:right w:val="single" w:color="000000" w:sz="4" w:space="0"/>
            </w:tcBorders>
            <w:noWrap/>
            <w:vAlign w:val="center"/>
          </w:tcPr>
          <w:p w14:paraId="677A21C0">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686" w:type="dxa"/>
            <w:tcBorders>
              <w:top w:val="single" w:color="000000" w:sz="4" w:space="0"/>
              <w:left w:val="single" w:color="000000" w:sz="4" w:space="0"/>
              <w:bottom w:val="single" w:color="000000" w:sz="4" w:space="0"/>
              <w:right w:val="single" w:color="000000" w:sz="4" w:space="0"/>
            </w:tcBorders>
            <w:noWrap/>
            <w:vAlign w:val="center"/>
          </w:tcPr>
          <w:p w14:paraId="11A20F76">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五联路</w:t>
            </w:r>
          </w:p>
        </w:tc>
        <w:tc>
          <w:tcPr>
            <w:tcW w:w="1854" w:type="dxa"/>
            <w:tcBorders>
              <w:top w:val="single" w:color="000000" w:sz="4" w:space="0"/>
              <w:left w:val="single" w:color="000000" w:sz="4" w:space="0"/>
              <w:bottom w:val="single" w:color="000000" w:sz="4" w:space="0"/>
              <w:right w:val="single" w:color="000000" w:sz="4" w:space="0"/>
            </w:tcBorders>
            <w:noWrap w:val="0"/>
            <w:vAlign w:val="center"/>
          </w:tcPr>
          <w:p w14:paraId="0D9B7D1B">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两侧</w:t>
            </w:r>
          </w:p>
        </w:tc>
        <w:tc>
          <w:tcPr>
            <w:tcW w:w="1487" w:type="dxa"/>
            <w:tcBorders>
              <w:top w:val="single" w:color="000000" w:sz="4" w:space="0"/>
              <w:left w:val="single" w:color="000000" w:sz="4" w:space="0"/>
              <w:bottom w:val="single" w:color="000000" w:sz="4" w:space="0"/>
              <w:right w:val="single" w:color="000000" w:sz="4" w:space="0"/>
            </w:tcBorders>
            <w:noWrap/>
            <w:vAlign w:val="center"/>
          </w:tcPr>
          <w:p w14:paraId="749742CE">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9600</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2B3C1FD9">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四级</w:t>
            </w:r>
          </w:p>
        </w:tc>
        <w:tc>
          <w:tcPr>
            <w:tcW w:w="1378" w:type="dxa"/>
            <w:tcBorders>
              <w:top w:val="single" w:color="000000" w:sz="4" w:space="0"/>
              <w:left w:val="single" w:color="000000" w:sz="4" w:space="0"/>
              <w:bottom w:val="single" w:color="000000" w:sz="4" w:space="0"/>
              <w:right w:val="single" w:color="000000" w:sz="4" w:space="0"/>
            </w:tcBorders>
            <w:noWrap w:val="0"/>
            <w:vAlign w:val="center"/>
          </w:tcPr>
          <w:p w14:paraId="56BCCB19">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有树有灌木</w:t>
            </w:r>
          </w:p>
        </w:tc>
        <w:tc>
          <w:tcPr>
            <w:tcW w:w="1115" w:type="dxa"/>
            <w:tcBorders>
              <w:top w:val="single" w:color="000000" w:sz="4" w:space="0"/>
              <w:left w:val="nil"/>
              <w:bottom w:val="single" w:color="000000" w:sz="4" w:space="0"/>
              <w:right w:val="single" w:color="000000" w:sz="4" w:space="0"/>
            </w:tcBorders>
            <w:noWrap/>
            <w:vAlign w:val="center"/>
          </w:tcPr>
          <w:p w14:paraId="212CC288">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417</w:t>
            </w:r>
          </w:p>
        </w:tc>
      </w:tr>
      <w:tr w14:paraId="512AE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55" w:type="dxa"/>
            <w:tcBorders>
              <w:top w:val="single" w:color="000000" w:sz="4" w:space="0"/>
              <w:left w:val="single" w:color="000000" w:sz="4" w:space="0"/>
              <w:bottom w:val="single" w:color="000000" w:sz="4" w:space="0"/>
              <w:right w:val="single" w:color="000000" w:sz="4" w:space="0"/>
            </w:tcBorders>
            <w:noWrap/>
            <w:vAlign w:val="center"/>
          </w:tcPr>
          <w:p w14:paraId="1F2C83FC">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1686" w:type="dxa"/>
            <w:tcBorders>
              <w:top w:val="single" w:color="000000" w:sz="4" w:space="0"/>
              <w:left w:val="single" w:color="000000" w:sz="4" w:space="0"/>
              <w:bottom w:val="single" w:color="000000" w:sz="4" w:space="0"/>
              <w:right w:val="single" w:color="000000" w:sz="4" w:space="0"/>
            </w:tcBorders>
            <w:noWrap/>
            <w:vAlign w:val="center"/>
          </w:tcPr>
          <w:p w14:paraId="2375E633">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菜园路</w:t>
            </w:r>
          </w:p>
        </w:tc>
        <w:tc>
          <w:tcPr>
            <w:tcW w:w="1854" w:type="dxa"/>
            <w:tcBorders>
              <w:top w:val="single" w:color="000000" w:sz="4" w:space="0"/>
              <w:left w:val="single" w:color="000000" w:sz="4" w:space="0"/>
              <w:bottom w:val="single" w:color="000000" w:sz="4" w:space="0"/>
              <w:right w:val="single" w:color="000000" w:sz="4" w:space="0"/>
            </w:tcBorders>
            <w:noWrap w:val="0"/>
            <w:vAlign w:val="center"/>
          </w:tcPr>
          <w:p w14:paraId="5B2A4AD1">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两侧</w:t>
            </w:r>
          </w:p>
        </w:tc>
        <w:tc>
          <w:tcPr>
            <w:tcW w:w="1487" w:type="dxa"/>
            <w:tcBorders>
              <w:top w:val="single" w:color="000000" w:sz="4" w:space="0"/>
              <w:left w:val="single" w:color="000000" w:sz="4" w:space="0"/>
              <w:bottom w:val="single" w:color="000000" w:sz="4" w:space="0"/>
              <w:right w:val="single" w:color="000000" w:sz="4" w:space="0"/>
            </w:tcBorders>
            <w:noWrap/>
            <w:vAlign w:val="center"/>
          </w:tcPr>
          <w:p w14:paraId="00AEB8BC">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7200</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20C4D70C">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四级</w:t>
            </w:r>
          </w:p>
        </w:tc>
        <w:tc>
          <w:tcPr>
            <w:tcW w:w="1378" w:type="dxa"/>
            <w:tcBorders>
              <w:top w:val="single" w:color="000000" w:sz="4" w:space="0"/>
              <w:left w:val="single" w:color="000000" w:sz="4" w:space="0"/>
              <w:bottom w:val="single" w:color="000000" w:sz="4" w:space="0"/>
              <w:right w:val="single" w:color="000000" w:sz="4" w:space="0"/>
            </w:tcBorders>
            <w:noWrap w:val="0"/>
            <w:vAlign w:val="center"/>
          </w:tcPr>
          <w:p w14:paraId="2B94B997">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有树有灌木</w:t>
            </w:r>
          </w:p>
        </w:tc>
        <w:tc>
          <w:tcPr>
            <w:tcW w:w="1115" w:type="dxa"/>
            <w:tcBorders>
              <w:top w:val="single" w:color="000000" w:sz="4" w:space="0"/>
              <w:left w:val="nil"/>
              <w:bottom w:val="single" w:color="000000" w:sz="4" w:space="0"/>
              <w:right w:val="single" w:color="000000" w:sz="4" w:space="0"/>
            </w:tcBorders>
            <w:noWrap/>
            <w:vAlign w:val="center"/>
          </w:tcPr>
          <w:p w14:paraId="7DA8D9F7">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313</w:t>
            </w:r>
          </w:p>
        </w:tc>
      </w:tr>
      <w:tr w14:paraId="57E84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55" w:type="dxa"/>
            <w:tcBorders>
              <w:top w:val="single" w:color="000000" w:sz="4" w:space="0"/>
              <w:left w:val="single" w:color="000000" w:sz="4" w:space="0"/>
              <w:bottom w:val="single" w:color="000000" w:sz="4" w:space="0"/>
              <w:right w:val="single" w:color="000000" w:sz="4" w:space="0"/>
            </w:tcBorders>
            <w:noWrap/>
            <w:vAlign w:val="center"/>
          </w:tcPr>
          <w:p w14:paraId="23496A5B">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1686" w:type="dxa"/>
            <w:tcBorders>
              <w:top w:val="single" w:color="000000" w:sz="4" w:space="0"/>
              <w:left w:val="single" w:color="000000" w:sz="4" w:space="0"/>
              <w:bottom w:val="single" w:color="000000" w:sz="4" w:space="0"/>
              <w:right w:val="single" w:color="000000" w:sz="4" w:space="0"/>
            </w:tcBorders>
            <w:noWrap/>
            <w:vAlign w:val="center"/>
          </w:tcPr>
          <w:p w14:paraId="7A26B15A">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创业路</w:t>
            </w:r>
          </w:p>
        </w:tc>
        <w:tc>
          <w:tcPr>
            <w:tcW w:w="1854" w:type="dxa"/>
            <w:tcBorders>
              <w:top w:val="single" w:color="000000" w:sz="4" w:space="0"/>
              <w:left w:val="single" w:color="000000" w:sz="4" w:space="0"/>
              <w:bottom w:val="single" w:color="000000" w:sz="4" w:space="0"/>
              <w:right w:val="single" w:color="000000" w:sz="4" w:space="0"/>
            </w:tcBorders>
            <w:noWrap w:val="0"/>
            <w:vAlign w:val="center"/>
          </w:tcPr>
          <w:p w14:paraId="71B532A0">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两侧</w:t>
            </w:r>
          </w:p>
        </w:tc>
        <w:tc>
          <w:tcPr>
            <w:tcW w:w="1487" w:type="dxa"/>
            <w:tcBorders>
              <w:top w:val="single" w:color="000000" w:sz="4" w:space="0"/>
              <w:left w:val="single" w:color="000000" w:sz="4" w:space="0"/>
              <w:bottom w:val="single" w:color="000000" w:sz="4" w:space="0"/>
              <w:right w:val="single" w:color="000000" w:sz="4" w:space="0"/>
            </w:tcBorders>
            <w:noWrap/>
            <w:vAlign w:val="center"/>
          </w:tcPr>
          <w:p w14:paraId="35AFB52E">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12000</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6625743B">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四级</w:t>
            </w:r>
          </w:p>
        </w:tc>
        <w:tc>
          <w:tcPr>
            <w:tcW w:w="1378" w:type="dxa"/>
            <w:tcBorders>
              <w:top w:val="single" w:color="000000" w:sz="4" w:space="0"/>
              <w:left w:val="single" w:color="000000" w:sz="4" w:space="0"/>
              <w:bottom w:val="single" w:color="000000" w:sz="4" w:space="0"/>
              <w:right w:val="single" w:color="000000" w:sz="4" w:space="0"/>
            </w:tcBorders>
            <w:noWrap w:val="0"/>
            <w:vAlign w:val="center"/>
          </w:tcPr>
          <w:p w14:paraId="56CF695B">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有树有灌木</w:t>
            </w:r>
          </w:p>
        </w:tc>
        <w:tc>
          <w:tcPr>
            <w:tcW w:w="1115" w:type="dxa"/>
            <w:tcBorders>
              <w:top w:val="single" w:color="000000" w:sz="4" w:space="0"/>
              <w:left w:val="nil"/>
              <w:bottom w:val="single" w:color="000000" w:sz="4" w:space="0"/>
              <w:right w:val="single" w:color="000000" w:sz="4" w:space="0"/>
            </w:tcBorders>
            <w:noWrap/>
            <w:vAlign w:val="center"/>
          </w:tcPr>
          <w:p w14:paraId="7AC39EFF">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521</w:t>
            </w:r>
          </w:p>
        </w:tc>
      </w:tr>
      <w:tr w14:paraId="24928E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55" w:type="dxa"/>
            <w:tcBorders>
              <w:top w:val="single" w:color="000000" w:sz="4" w:space="0"/>
              <w:left w:val="single" w:color="000000" w:sz="4" w:space="0"/>
              <w:bottom w:val="single" w:color="000000" w:sz="4" w:space="0"/>
              <w:right w:val="single" w:color="000000" w:sz="4" w:space="0"/>
            </w:tcBorders>
            <w:noWrap/>
            <w:vAlign w:val="center"/>
          </w:tcPr>
          <w:p w14:paraId="5B23223B">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1686" w:type="dxa"/>
            <w:tcBorders>
              <w:top w:val="single" w:color="000000" w:sz="4" w:space="0"/>
              <w:left w:val="single" w:color="000000" w:sz="4" w:space="0"/>
              <w:bottom w:val="single" w:color="000000" w:sz="4" w:space="0"/>
              <w:right w:val="single" w:color="000000" w:sz="4" w:space="0"/>
            </w:tcBorders>
            <w:noWrap/>
            <w:vAlign w:val="center"/>
          </w:tcPr>
          <w:p w14:paraId="65D734C9">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鹏程路</w:t>
            </w:r>
          </w:p>
        </w:tc>
        <w:tc>
          <w:tcPr>
            <w:tcW w:w="1854" w:type="dxa"/>
            <w:tcBorders>
              <w:top w:val="single" w:color="000000" w:sz="4" w:space="0"/>
              <w:left w:val="single" w:color="000000" w:sz="4" w:space="0"/>
              <w:bottom w:val="single" w:color="000000" w:sz="4" w:space="0"/>
              <w:right w:val="single" w:color="000000" w:sz="4" w:space="0"/>
            </w:tcBorders>
            <w:noWrap w:val="0"/>
            <w:vAlign w:val="center"/>
          </w:tcPr>
          <w:p w14:paraId="38A47065">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两侧</w:t>
            </w:r>
          </w:p>
        </w:tc>
        <w:tc>
          <w:tcPr>
            <w:tcW w:w="1487" w:type="dxa"/>
            <w:tcBorders>
              <w:top w:val="single" w:color="000000" w:sz="4" w:space="0"/>
              <w:left w:val="single" w:color="000000" w:sz="4" w:space="0"/>
              <w:bottom w:val="single" w:color="000000" w:sz="4" w:space="0"/>
              <w:right w:val="single" w:color="000000" w:sz="4" w:space="0"/>
            </w:tcBorders>
            <w:noWrap/>
            <w:vAlign w:val="center"/>
          </w:tcPr>
          <w:p w14:paraId="47930932">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13000</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090F0369">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四级</w:t>
            </w:r>
          </w:p>
        </w:tc>
        <w:tc>
          <w:tcPr>
            <w:tcW w:w="1378" w:type="dxa"/>
            <w:tcBorders>
              <w:top w:val="single" w:color="000000" w:sz="4" w:space="0"/>
              <w:left w:val="single" w:color="000000" w:sz="4" w:space="0"/>
              <w:bottom w:val="single" w:color="000000" w:sz="4" w:space="0"/>
              <w:right w:val="single" w:color="000000" w:sz="4" w:space="0"/>
            </w:tcBorders>
            <w:noWrap w:val="0"/>
            <w:vAlign w:val="center"/>
          </w:tcPr>
          <w:p w14:paraId="51DE9A96">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有树有灌木</w:t>
            </w:r>
          </w:p>
        </w:tc>
        <w:tc>
          <w:tcPr>
            <w:tcW w:w="1115" w:type="dxa"/>
            <w:tcBorders>
              <w:top w:val="single" w:color="000000" w:sz="4" w:space="0"/>
              <w:left w:val="nil"/>
              <w:bottom w:val="single" w:color="000000" w:sz="4" w:space="0"/>
              <w:right w:val="single" w:color="000000" w:sz="4" w:space="0"/>
            </w:tcBorders>
            <w:noWrap/>
            <w:vAlign w:val="center"/>
          </w:tcPr>
          <w:p w14:paraId="62C2E8E4">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565</w:t>
            </w:r>
          </w:p>
        </w:tc>
      </w:tr>
      <w:tr w14:paraId="49DAE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55" w:type="dxa"/>
            <w:tcBorders>
              <w:top w:val="single" w:color="000000" w:sz="4" w:space="0"/>
              <w:left w:val="single" w:color="000000" w:sz="4" w:space="0"/>
              <w:bottom w:val="single" w:color="000000" w:sz="4" w:space="0"/>
              <w:right w:val="single" w:color="000000" w:sz="4" w:space="0"/>
            </w:tcBorders>
            <w:noWrap/>
            <w:vAlign w:val="center"/>
          </w:tcPr>
          <w:p w14:paraId="1BFD6511">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1686" w:type="dxa"/>
            <w:tcBorders>
              <w:top w:val="single" w:color="000000" w:sz="4" w:space="0"/>
              <w:left w:val="single" w:color="000000" w:sz="4" w:space="0"/>
              <w:bottom w:val="single" w:color="000000" w:sz="4" w:space="0"/>
              <w:right w:val="single" w:color="000000" w:sz="4" w:space="0"/>
            </w:tcBorders>
            <w:noWrap/>
            <w:vAlign w:val="center"/>
          </w:tcPr>
          <w:p w14:paraId="01C165E7">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永顺路</w:t>
            </w:r>
          </w:p>
        </w:tc>
        <w:tc>
          <w:tcPr>
            <w:tcW w:w="1854" w:type="dxa"/>
            <w:tcBorders>
              <w:top w:val="single" w:color="000000" w:sz="4" w:space="0"/>
              <w:left w:val="single" w:color="000000" w:sz="4" w:space="0"/>
              <w:bottom w:val="single" w:color="000000" w:sz="4" w:space="0"/>
              <w:right w:val="single" w:color="000000" w:sz="4" w:space="0"/>
            </w:tcBorders>
            <w:noWrap w:val="0"/>
            <w:vAlign w:val="center"/>
          </w:tcPr>
          <w:p w14:paraId="6C38BCDB">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两侧</w:t>
            </w:r>
          </w:p>
        </w:tc>
        <w:tc>
          <w:tcPr>
            <w:tcW w:w="1487" w:type="dxa"/>
            <w:tcBorders>
              <w:top w:val="single" w:color="000000" w:sz="4" w:space="0"/>
              <w:left w:val="single" w:color="000000" w:sz="4" w:space="0"/>
              <w:bottom w:val="single" w:color="000000" w:sz="4" w:space="0"/>
              <w:right w:val="single" w:color="000000" w:sz="4" w:space="0"/>
            </w:tcBorders>
            <w:noWrap/>
            <w:vAlign w:val="center"/>
          </w:tcPr>
          <w:p w14:paraId="0D027AAA">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9600</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5AD3EBA7">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四级</w:t>
            </w:r>
          </w:p>
        </w:tc>
        <w:tc>
          <w:tcPr>
            <w:tcW w:w="1378" w:type="dxa"/>
            <w:tcBorders>
              <w:top w:val="single" w:color="000000" w:sz="4" w:space="0"/>
              <w:left w:val="single" w:color="000000" w:sz="4" w:space="0"/>
              <w:bottom w:val="single" w:color="000000" w:sz="4" w:space="0"/>
              <w:right w:val="single" w:color="000000" w:sz="4" w:space="0"/>
            </w:tcBorders>
            <w:noWrap w:val="0"/>
            <w:vAlign w:val="center"/>
          </w:tcPr>
          <w:p w14:paraId="1FB519FD">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有树有灌木</w:t>
            </w:r>
          </w:p>
        </w:tc>
        <w:tc>
          <w:tcPr>
            <w:tcW w:w="1115" w:type="dxa"/>
            <w:tcBorders>
              <w:top w:val="single" w:color="000000" w:sz="4" w:space="0"/>
              <w:left w:val="nil"/>
              <w:bottom w:val="single" w:color="000000" w:sz="4" w:space="0"/>
              <w:right w:val="single" w:color="000000" w:sz="4" w:space="0"/>
            </w:tcBorders>
            <w:noWrap/>
            <w:vAlign w:val="center"/>
          </w:tcPr>
          <w:p w14:paraId="2BC5277A">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417</w:t>
            </w:r>
          </w:p>
        </w:tc>
      </w:tr>
      <w:tr w14:paraId="3B2E01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55" w:type="dxa"/>
            <w:tcBorders>
              <w:top w:val="single" w:color="000000" w:sz="4" w:space="0"/>
              <w:left w:val="single" w:color="000000" w:sz="4" w:space="0"/>
              <w:bottom w:val="single" w:color="000000" w:sz="4" w:space="0"/>
              <w:right w:val="single" w:color="000000" w:sz="4" w:space="0"/>
            </w:tcBorders>
            <w:noWrap/>
            <w:vAlign w:val="center"/>
          </w:tcPr>
          <w:p w14:paraId="30346B69">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1686" w:type="dxa"/>
            <w:tcBorders>
              <w:top w:val="single" w:color="000000" w:sz="4" w:space="0"/>
              <w:left w:val="single" w:color="000000" w:sz="4" w:space="0"/>
              <w:bottom w:val="single" w:color="000000" w:sz="4" w:space="0"/>
              <w:right w:val="single" w:color="000000" w:sz="4" w:space="0"/>
            </w:tcBorders>
            <w:noWrap/>
            <w:vAlign w:val="center"/>
          </w:tcPr>
          <w:p w14:paraId="7B2FFC7B">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永兴路</w:t>
            </w:r>
          </w:p>
        </w:tc>
        <w:tc>
          <w:tcPr>
            <w:tcW w:w="1854" w:type="dxa"/>
            <w:tcBorders>
              <w:top w:val="single" w:color="000000" w:sz="4" w:space="0"/>
              <w:left w:val="single" w:color="000000" w:sz="4" w:space="0"/>
              <w:bottom w:val="single" w:color="000000" w:sz="4" w:space="0"/>
              <w:right w:val="single" w:color="000000" w:sz="4" w:space="0"/>
            </w:tcBorders>
            <w:noWrap w:val="0"/>
            <w:vAlign w:val="center"/>
          </w:tcPr>
          <w:p w14:paraId="74AE56A5">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两侧</w:t>
            </w:r>
          </w:p>
        </w:tc>
        <w:tc>
          <w:tcPr>
            <w:tcW w:w="1487" w:type="dxa"/>
            <w:tcBorders>
              <w:top w:val="single" w:color="000000" w:sz="4" w:space="0"/>
              <w:left w:val="single" w:color="000000" w:sz="4" w:space="0"/>
              <w:bottom w:val="single" w:color="000000" w:sz="4" w:space="0"/>
              <w:right w:val="single" w:color="000000" w:sz="4" w:space="0"/>
            </w:tcBorders>
            <w:noWrap/>
            <w:vAlign w:val="center"/>
          </w:tcPr>
          <w:p w14:paraId="62237C60">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12000</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76ECBA19">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四级</w:t>
            </w:r>
          </w:p>
        </w:tc>
        <w:tc>
          <w:tcPr>
            <w:tcW w:w="1378" w:type="dxa"/>
            <w:tcBorders>
              <w:top w:val="single" w:color="000000" w:sz="4" w:space="0"/>
              <w:left w:val="single" w:color="000000" w:sz="4" w:space="0"/>
              <w:bottom w:val="single" w:color="000000" w:sz="4" w:space="0"/>
              <w:right w:val="single" w:color="000000" w:sz="4" w:space="0"/>
            </w:tcBorders>
            <w:noWrap w:val="0"/>
            <w:vAlign w:val="center"/>
          </w:tcPr>
          <w:p w14:paraId="79AA92B4">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有树有灌木</w:t>
            </w:r>
          </w:p>
        </w:tc>
        <w:tc>
          <w:tcPr>
            <w:tcW w:w="1115" w:type="dxa"/>
            <w:tcBorders>
              <w:top w:val="single" w:color="000000" w:sz="4" w:space="0"/>
              <w:left w:val="nil"/>
              <w:bottom w:val="single" w:color="000000" w:sz="4" w:space="0"/>
              <w:right w:val="single" w:color="000000" w:sz="4" w:space="0"/>
            </w:tcBorders>
            <w:noWrap/>
            <w:vAlign w:val="center"/>
          </w:tcPr>
          <w:p w14:paraId="50942738">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521</w:t>
            </w:r>
          </w:p>
        </w:tc>
      </w:tr>
      <w:tr w14:paraId="5C9F7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55" w:type="dxa"/>
            <w:tcBorders>
              <w:top w:val="single" w:color="000000" w:sz="4" w:space="0"/>
              <w:left w:val="single" w:color="000000" w:sz="4" w:space="0"/>
              <w:bottom w:val="single" w:color="000000" w:sz="4" w:space="0"/>
              <w:right w:val="single" w:color="000000" w:sz="4" w:space="0"/>
            </w:tcBorders>
            <w:noWrap/>
            <w:vAlign w:val="center"/>
          </w:tcPr>
          <w:p w14:paraId="7C9C0F51">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w:t>
            </w:r>
          </w:p>
        </w:tc>
        <w:tc>
          <w:tcPr>
            <w:tcW w:w="1686" w:type="dxa"/>
            <w:tcBorders>
              <w:top w:val="single" w:color="000000" w:sz="4" w:space="0"/>
              <w:left w:val="single" w:color="000000" w:sz="4" w:space="0"/>
              <w:bottom w:val="single" w:color="000000" w:sz="4" w:space="0"/>
              <w:right w:val="single" w:color="000000" w:sz="4" w:space="0"/>
            </w:tcBorders>
            <w:noWrap/>
            <w:vAlign w:val="center"/>
          </w:tcPr>
          <w:p w14:paraId="3B90A4D4">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绿地公园</w:t>
            </w:r>
          </w:p>
        </w:tc>
        <w:tc>
          <w:tcPr>
            <w:tcW w:w="1854" w:type="dxa"/>
            <w:tcBorders>
              <w:top w:val="single" w:color="000000" w:sz="4" w:space="0"/>
              <w:left w:val="single" w:color="000000" w:sz="4" w:space="0"/>
              <w:bottom w:val="single" w:color="000000" w:sz="4" w:space="0"/>
              <w:right w:val="single" w:color="000000" w:sz="4" w:space="0"/>
            </w:tcBorders>
            <w:noWrap w:val="0"/>
            <w:vAlign w:val="center"/>
          </w:tcPr>
          <w:p w14:paraId="3ADB1EDC">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一处</w:t>
            </w:r>
          </w:p>
        </w:tc>
        <w:tc>
          <w:tcPr>
            <w:tcW w:w="1487" w:type="dxa"/>
            <w:tcBorders>
              <w:top w:val="single" w:color="000000" w:sz="4" w:space="0"/>
              <w:left w:val="single" w:color="000000" w:sz="4" w:space="0"/>
              <w:bottom w:val="single" w:color="000000" w:sz="4" w:space="0"/>
              <w:right w:val="single" w:color="000000" w:sz="4" w:space="0"/>
            </w:tcBorders>
            <w:noWrap/>
            <w:vAlign w:val="center"/>
          </w:tcPr>
          <w:p w14:paraId="4327CF89">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8000</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566AB577">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四级</w:t>
            </w:r>
          </w:p>
        </w:tc>
        <w:tc>
          <w:tcPr>
            <w:tcW w:w="1378" w:type="dxa"/>
            <w:tcBorders>
              <w:top w:val="single" w:color="000000" w:sz="4" w:space="0"/>
              <w:left w:val="single" w:color="000000" w:sz="4" w:space="0"/>
              <w:bottom w:val="single" w:color="000000" w:sz="4" w:space="0"/>
              <w:right w:val="single" w:color="000000" w:sz="4" w:space="0"/>
            </w:tcBorders>
            <w:noWrap w:val="0"/>
            <w:vAlign w:val="center"/>
          </w:tcPr>
          <w:p w14:paraId="2FA509D4">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有树有灌木</w:t>
            </w:r>
          </w:p>
        </w:tc>
        <w:tc>
          <w:tcPr>
            <w:tcW w:w="1115" w:type="dxa"/>
            <w:tcBorders>
              <w:top w:val="single" w:color="000000" w:sz="4" w:space="0"/>
              <w:left w:val="nil"/>
              <w:bottom w:val="single" w:color="000000" w:sz="4" w:space="0"/>
              <w:right w:val="single" w:color="000000" w:sz="4" w:space="0"/>
            </w:tcBorders>
            <w:noWrap/>
            <w:vAlign w:val="center"/>
          </w:tcPr>
          <w:p w14:paraId="4FCEE40E">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340</w:t>
            </w:r>
          </w:p>
        </w:tc>
      </w:tr>
      <w:tr w14:paraId="78A16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55" w:type="dxa"/>
            <w:tcBorders>
              <w:top w:val="single" w:color="000000" w:sz="4" w:space="0"/>
              <w:left w:val="single" w:color="000000" w:sz="4" w:space="0"/>
              <w:bottom w:val="single" w:color="000000" w:sz="4" w:space="0"/>
              <w:right w:val="single" w:color="000000" w:sz="4" w:space="0"/>
            </w:tcBorders>
            <w:noWrap/>
            <w:vAlign w:val="center"/>
          </w:tcPr>
          <w:p w14:paraId="5AD971C1">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w:t>
            </w:r>
          </w:p>
        </w:tc>
        <w:tc>
          <w:tcPr>
            <w:tcW w:w="1686" w:type="dxa"/>
            <w:tcBorders>
              <w:top w:val="single" w:color="000000" w:sz="4" w:space="0"/>
              <w:left w:val="single" w:color="000000" w:sz="4" w:space="0"/>
              <w:bottom w:val="single" w:color="000000" w:sz="4" w:space="0"/>
              <w:right w:val="single" w:color="000000" w:sz="4" w:space="0"/>
            </w:tcBorders>
            <w:noWrap/>
            <w:vAlign w:val="center"/>
          </w:tcPr>
          <w:p w14:paraId="2B3B0D02">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现代产业园</w:t>
            </w:r>
          </w:p>
        </w:tc>
        <w:tc>
          <w:tcPr>
            <w:tcW w:w="1854" w:type="dxa"/>
            <w:tcBorders>
              <w:top w:val="single" w:color="000000" w:sz="4" w:space="0"/>
              <w:left w:val="single" w:color="000000" w:sz="4" w:space="0"/>
              <w:bottom w:val="single" w:color="000000" w:sz="4" w:space="0"/>
              <w:right w:val="single" w:color="000000" w:sz="4" w:space="0"/>
            </w:tcBorders>
            <w:noWrap w:val="0"/>
            <w:vAlign w:val="center"/>
          </w:tcPr>
          <w:p w14:paraId="2DEDA02A">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一处</w:t>
            </w:r>
          </w:p>
        </w:tc>
        <w:tc>
          <w:tcPr>
            <w:tcW w:w="1487" w:type="dxa"/>
            <w:tcBorders>
              <w:top w:val="single" w:color="000000" w:sz="4" w:space="0"/>
              <w:left w:val="single" w:color="000000" w:sz="4" w:space="0"/>
              <w:bottom w:val="single" w:color="000000" w:sz="4" w:space="0"/>
              <w:right w:val="single" w:color="000000" w:sz="4" w:space="0"/>
            </w:tcBorders>
            <w:noWrap/>
            <w:vAlign w:val="center"/>
          </w:tcPr>
          <w:p w14:paraId="79511BBF">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8000</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48925FA7">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四级</w:t>
            </w:r>
          </w:p>
        </w:tc>
        <w:tc>
          <w:tcPr>
            <w:tcW w:w="1378" w:type="dxa"/>
            <w:tcBorders>
              <w:top w:val="single" w:color="000000" w:sz="4" w:space="0"/>
              <w:left w:val="single" w:color="000000" w:sz="4" w:space="0"/>
              <w:bottom w:val="single" w:color="000000" w:sz="4" w:space="0"/>
              <w:right w:val="single" w:color="000000" w:sz="4" w:space="0"/>
            </w:tcBorders>
            <w:noWrap w:val="0"/>
            <w:vAlign w:val="center"/>
          </w:tcPr>
          <w:p w14:paraId="7DB91E49">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有树有灌木</w:t>
            </w:r>
          </w:p>
        </w:tc>
        <w:tc>
          <w:tcPr>
            <w:tcW w:w="1115" w:type="dxa"/>
            <w:tcBorders>
              <w:top w:val="single" w:color="000000" w:sz="4" w:space="0"/>
              <w:left w:val="nil"/>
              <w:bottom w:val="single" w:color="000000" w:sz="4" w:space="0"/>
              <w:right w:val="single" w:color="000000" w:sz="4" w:space="0"/>
            </w:tcBorders>
            <w:noWrap/>
            <w:vAlign w:val="center"/>
          </w:tcPr>
          <w:p w14:paraId="3121C04C">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347</w:t>
            </w:r>
          </w:p>
        </w:tc>
      </w:tr>
      <w:tr w14:paraId="32C1D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55" w:type="dxa"/>
            <w:tcBorders>
              <w:top w:val="single" w:color="000000" w:sz="4" w:space="0"/>
              <w:left w:val="single" w:color="000000" w:sz="4" w:space="0"/>
              <w:bottom w:val="single" w:color="000000" w:sz="4" w:space="0"/>
              <w:right w:val="single" w:color="000000" w:sz="4" w:space="0"/>
            </w:tcBorders>
            <w:noWrap/>
            <w:vAlign w:val="center"/>
          </w:tcPr>
          <w:p w14:paraId="6C1D2757">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w:t>
            </w:r>
          </w:p>
        </w:tc>
        <w:tc>
          <w:tcPr>
            <w:tcW w:w="1686" w:type="dxa"/>
            <w:tcBorders>
              <w:top w:val="single" w:color="000000" w:sz="4" w:space="0"/>
              <w:left w:val="single" w:color="000000" w:sz="4" w:space="0"/>
              <w:bottom w:val="single" w:color="000000" w:sz="4" w:space="0"/>
              <w:right w:val="single" w:color="000000" w:sz="4" w:space="0"/>
            </w:tcBorders>
            <w:noWrap/>
            <w:vAlign w:val="center"/>
          </w:tcPr>
          <w:p w14:paraId="2FDED2BC">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龙溪大道</w:t>
            </w:r>
          </w:p>
        </w:tc>
        <w:tc>
          <w:tcPr>
            <w:tcW w:w="1854" w:type="dxa"/>
            <w:tcBorders>
              <w:top w:val="single" w:color="000000" w:sz="4" w:space="0"/>
              <w:left w:val="single" w:color="000000" w:sz="4" w:space="0"/>
              <w:bottom w:val="single" w:color="000000" w:sz="4" w:space="0"/>
              <w:right w:val="single" w:color="000000" w:sz="4" w:space="0"/>
            </w:tcBorders>
            <w:noWrap w:val="0"/>
            <w:vAlign w:val="center"/>
          </w:tcPr>
          <w:p w14:paraId="3B4FAE43">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两侧（直别路-鹏程路）</w:t>
            </w:r>
          </w:p>
        </w:tc>
        <w:tc>
          <w:tcPr>
            <w:tcW w:w="1487" w:type="dxa"/>
            <w:tcBorders>
              <w:top w:val="single" w:color="000000" w:sz="4" w:space="0"/>
              <w:left w:val="single" w:color="000000" w:sz="4" w:space="0"/>
              <w:bottom w:val="single" w:color="000000" w:sz="4" w:space="0"/>
              <w:right w:val="single" w:color="000000" w:sz="4" w:space="0"/>
            </w:tcBorders>
            <w:noWrap/>
            <w:vAlign w:val="center"/>
          </w:tcPr>
          <w:p w14:paraId="55A85727">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11700</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3FC180C1">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四级</w:t>
            </w:r>
          </w:p>
        </w:tc>
        <w:tc>
          <w:tcPr>
            <w:tcW w:w="1378" w:type="dxa"/>
            <w:tcBorders>
              <w:top w:val="single" w:color="000000" w:sz="4" w:space="0"/>
              <w:left w:val="single" w:color="000000" w:sz="4" w:space="0"/>
              <w:bottom w:val="single" w:color="000000" w:sz="4" w:space="0"/>
              <w:right w:val="single" w:color="000000" w:sz="4" w:space="0"/>
            </w:tcBorders>
            <w:noWrap w:val="0"/>
            <w:vAlign w:val="center"/>
          </w:tcPr>
          <w:p w14:paraId="5F40AB9B">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有树有灌木</w:t>
            </w:r>
          </w:p>
        </w:tc>
        <w:tc>
          <w:tcPr>
            <w:tcW w:w="1115" w:type="dxa"/>
            <w:tcBorders>
              <w:top w:val="single" w:color="000000" w:sz="4" w:space="0"/>
              <w:left w:val="nil"/>
              <w:bottom w:val="single" w:color="000000" w:sz="4" w:space="0"/>
              <w:right w:val="single" w:color="000000" w:sz="4" w:space="0"/>
            </w:tcBorders>
            <w:noWrap/>
            <w:vAlign w:val="center"/>
          </w:tcPr>
          <w:p w14:paraId="14DA3543">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508</w:t>
            </w:r>
          </w:p>
        </w:tc>
      </w:tr>
      <w:tr w14:paraId="0EE958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55" w:type="dxa"/>
            <w:tcBorders>
              <w:top w:val="single" w:color="000000" w:sz="4" w:space="0"/>
              <w:left w:val="single" w:color="000000" w:sz="4" w:space="0"/>
              <w:bottom w:val="single" w:color="000000" w:sz="4" w:space="0"/>
              <w:right w:val="single" w:color="000000" w:sz="4" w:space="0"/>
            </w:tcBorders>
            <w:noWrap/>
            <w:vAlign w:val="center"/>
          </w:tcPr>
          <w:p w14:paraId="64C6AD37">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1686" w:type="dxa"/>
            <w:tcBorders>
              <w:top w:val="single" w:color="000000" w:sz="4" w:space="0"/>
              <w:left w:val="single" w:color="000000" w:sz="4" w:space="0"/>
              <w:bottom w:val="single" w:color="000000" w:sz="4" w:space="0"/>
              <w:right w:val="single" w:color="000000" w:sz="4" w:space="0"/>
            </w:tcBorders>
            <w:noWrap/>
            <w:vAlign w:val="center"/>
          </w:tcPr>
          <w:p w14:paraId="1DBC5D41">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其他</w:t>
            </w:r>
          </w:p>
        </w:tc>
        <w:tc>
          <w:tcPr>
            <w:tcW w:w="1854" w:type="dxa"/>
            <w:tcBorders>
              <w:top w:val="single" w:color="000000" w:sz="4" w:space="0"/>
              <w:left w:val="single" w:color="000000" w:sz="4" w:space="0"/>
              <w:bottom w:val="single" w:color="000000" w:sz="4" w:space="0"/>
              <w:right w:val="single" w:color="000000" w:sz="4" w:space="0"/>
            </w:tcBorders>
            <w:noWrap w:val="0"/>
            <w:vAlign w:val="center"/>
          </w:tcPr>
          <w:p w14:paraId="1A4E5E27">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加油站东侧等</w:t>
            </w:r>
          </w:p>
        </w:tc>
        <w:tc>
          <w:tcPr>
            <w:tcW w:w="1487" w:type="dxa"/>
            <w:tcBorders>
              <w:top w:val="single" w:color="000000" w:sz="4" w:space="0"/>
              <w:left w:val="single" w:color="000000" w:sz="4" w:space="0"/>
              <w:bottom w:val="single" w:color="000000" w:sz="4" w:space="0"/>
              <w:right w:val="single" w:color="000000" w:sz="4" w:space="0"/>
            </w:tcBorders>
            <w:noWrap/>
            <w:vAlign w:val="center"/>
          </w:tcPr>
          <w:p w14:paraId="75C0B0F0">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3000</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6337A2D8">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四级</w:t>
            </w:r>
          </w:p>
        </w:tc>
        <w:tc>
          <w:tcPr>
            <w:tcW w:w="1378" w:type="dxa"/>
            <w:tcBorders>
              <w:top w:val="single" w:color="000000" w:sz="4" w:space="0"/>
              <w:left w:val="single" w:color="000000" w:sz="4" w:space="0"/>
              <w:bottom w:val="single" w:color="000000" w:sz="4" w:space="0"/>
              <w:right w:val="single" w:color="000000" w:sz="4" w:space="0"/>
            </w:tcBorders>
            <w:noWrap w:val="0"/>
            <w:vAlign w:val="center"/>
          </w:tcPr>
          <w:p w14:paraId="04F6FB58">
            <w:pPr>
              <w:jc w:val="center"/>
              <w:rPr>
                <w:rFonts w:hint="eastAsia" w:ascii="宋体" w:hAnsi="宋体" w:eastAsia="宋体" w:cs="宋体"/>
                <w:i w:val="0"/>
                <w:iCs w:val="0"/>
                <w:color w:val="000000"/>
                <w:kern w:val="2"/>
                <w:sz w:val="22"/>
                <w:szCs w:val="22"/>
                <w:highlight w:val="none"/>
                <w:u w:val="none"/>
              </w:rPr>
            </w:pPr>
          </w:p>
        </w:tc>
        <w:tc>
          <w:tcPr>
            <w:tcW w:w="1115" w:type="dxa"/>
            <w:tcBorders>
              <w:top w:val="single" w:color="000000" w:sz="4" w:space="0"/>
              <w:left w:val="nil"/>
              <w:bottom w:val="single" w:color="000000" w:sz="4" w:space="0"/>
              <w:right w:val="single" w:color="000000" w:sz="4" w:space="0"/>
            </w:tcBorders>
            <w:noWrap/>
            <w:vAlign w:val="center"/>
          </w:tcPr>
          <w:p w14:paraId="3F6C793C">
            <w:pPr>
              <w:jc w:val="center"/>
              <w:rPr>
                <w:rFonts w:hint="eastAsia" w:ascii="宋体" w:hAnsi="宋体" w:eastAsia="宋体" w:cs="宋体"/>
                <w:i w:val="0"/>
                <w:iCs w:val="0"/>
                <w:color w:val="000000"/>
                <w:kern w:val="2"/>
                <w:sz w:val="22"/>
                <w:szCs w:val="22"/>
                <w:highlight w:val="none"/>
                <w:u w:val="none"/>
              </w:rPr>
            </w:pPr>
          </w:p>
        </w:tc>
      </w:tr>
    </w:tbl>
    <w:p w14:paraId="76248235">
      <w:pPr>
        <w:pStyle w:val="46"/>
        <w:numPr>
          <w:ilvl w:val="0"/>
          <w:numId w:val="0"/>
        </w:numPr>
        <w:spacing w:line="360" w:lineRule="auto"/>
        <w:ind w:left="0" w:leftChars="0" w:firstLine="482" w:firstLineChars="200"/>
        <w:contextualSpacing/>
        <w:rPr>
          <w:rFonts w:hint="eastAsia" w:ascii="宋体" w:hAnsi="宋体" w:eastAsia="宋体" w:cs="宋体"/>
          <w:b w:val="0"/>
          <w:bCs/>
          <w:color w:val="auto"/>
          <w:kern w:val="2"/>
          <w:sz w:val="21"/>
          <w:szCs w:val="21"/>
          <w:highlight w:val="none"/>
        </w:rPr>
      </w:pPr>
      <w:r>
        <w:rPr>
          <w:rFonts w:hint="eastAsia" w:ascii="宋体" w:hAnsi="宋体" w:cs="宋体"/>
          <w:b/>
          <w:bCs w:val="0"/>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val="0"/>
          <w:bCs/>
          <w:color w:val="auto"/>
          <w:kern w:val="2"/>
          <w:sz w:val="21"/>
          <w:szCs w:val="21"/>
          <w:highlight w:val="none"/>
        </w:rPr>
        <w:t>本项目拟配备</w:t>
      </w:r>
      <w:r>
        <w:rPr>
          <w:rFonts w:hint="eastAsia" w:ascii="宋体" w:hAnsi="宋体" w:eastAsia="宋体" w:cs="宋体"/>
          <w:b w:val="0"/>
          <w:bCs/>
          <w:color w:val="auto"/>
          <w:kern w:val="2"/>
          <w:sz w:val="21"/>
          <w:szCs w:val="21"/>
          <w:highlight w:val="none"/>
          <w:lang w:val="en-US" w:eastAsia="zh-CN"/>
        </w:rPr>
        <w:t>基本</w:t>
      </w:r>
      <w:r>
        <w:rPr>
          <w:rFonts w:hint="eastAsia" w:ascii="宋体" w:hAnsi="宋体" w:eastAsia="宋体" w:cs="宋体"/>
          <w:b w:val="0"/>
          <w:bCs/>
          <w:color w:val="auto"/>
          <w:kern w:val="2"/>
          <w:sz w:val="21"/>
          <w:szCs w:val="21"/>
          <w:highlight w:val="none"/>
        </w:rPr>
        <w:t>人员</w:t>
      </w:r>
      <w:r>
        <w:rPr>
          <w:rFonts w:hint="eastAsia" w:ascii="宋体" w:hAnsi="宋体" w:eastAsia="宋体" w:cs="宋体"/>
          <w:b w:val="0"/>
          <w:bCs/>
          <w:color w:val="auto"/>
          <w:kern w:val="2"/>
          <w:sz w:val="21"/>
          <w:szCs w:val="21"/>
          <w:highlight w:val="none"/>
          <w:lang w:val="en-US" w:eastAsia="zh-CN"/>
        </w:rPr>
        <w:t>及车辆</w:t>
      </w:r>
      <w:r>
        <w:rPr>
          <w:rFonts w:hint="eastAsia" w:ascii="宋体" w:hAnsi="宋体" w:eastAsia="宋体" w:cs="宋体"/>
          <w:b w:val="0"/>
          <w:bCs/>
          <w:color w:val="auto"/>
          <w:kern w:val="2"/>
          <w:sz w:val="21"/>
          <w:szCs w:val="21"/>
          <w:highlight w:val="none"/>
        </w:rPr>
        <w:t>要求：</w:t>
      </w:r>
    </w:p>
    <w:p w14:paraId="03C250FC">
      <w:pPr>
        <w:widowControl w:val="0"/>
        <w:numPr>
          <w:ilvl w:val="0"/>
          <w:numId w:val="0"/>
        </w:numPr>
        <w:spacing w:line="360" w:lineRule="auto"/>
        <w:ind w:leftChars="0" w:firstLine="420" w:firstLineChars="200"/>
        <w:contextualSpacing/>
        <w:jc w:val="both"/>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4.1★拟配备管养人员不低于10人（含项目负责人，不含车辆驾驶员）</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9"/>
        <w:gridCol w:w="1713"/>
        <w:gridCol w:w="5617"/>
        <w:gridCol w:w="846"/>
      </w:tblGrid>
      <w:tr w14:paraId="7EA10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noWrap w:val="0"/>
            <w:vAlign w:val="center"/>
          </w:tcPr>
          <w:p w14:paraId="21AF8F3F">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r>
              <w:rPr>
                <w:rFonts w:hint="eastAsia" w:ascii="宋体" w:hAnsi="宋体" w:eastAsia="宋体" w:cs="宋体"/>
                <w:b w:val="0"/>
                <w:bCs/>
                <w:color w:val="auto"/>
                <w:kern w:val="2"/>
                <w:sz w:val="21"/>
                <w:szCs w:val="21"/>
                <w:highlight w:val="none"/>
                <w:vertAlign w:val="baseline"/>
                <w:lang w:val="en-US" w:eastAsia="zh-CN" w:bidi="ar-SA"/>
              </w:rPr>
              <w:t>岗位</w:t>
            </w:r>
          </w:p>
        </w:tc>
        <w:tc>
          <w:tcPr>
            <w:tcW w:w="1713" w:type="dxa"/>
            <w:noWrap w:val="0"/>
            <w:vAlign w:val="center"/>
          </w:tcPr>
          <w:p w14:paraId="1EDBE1AE">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r>
              <w:rPr>
                <w:rFonts w:hint="eastAsia" w:ascii="宋体" w:hAnsi="宋体" w:eastAsia="宋体" w:cs="宋体"/>
                <w:b w:val="0"/>
                <w:bCs/>
                <w:color w:val="auto"/>
                <w:kern w:val="2"/>
                <w:sz w:val="21"/>
                <w:szCs w:val="21"/>
                <w:highlight w:val="none"/>
                <w:vertAlign w:val="baseline"/>
                <w:lang w:val="en-US" w:eastAsia="zh-CN" w:bidi="ar-SA"/>
              </w:rPr>
              <w:t>最低作业人数</w:t>
            </w:r>
          </w:p>
        </w:tc>
        <w:tc>
          <w:tcPr>
            <w:tcW w:w="5617" w:type="dxa"/>
            <w:noWrap w:val="0"/>
            <w:vAlign w:val="center"/>
          </w:tcPr>
          <w:p w14:paraId="0C7B138C">
            <w:pPr>
              <w:widowControl w:val="0"/>
              <w:numPr>
                <w:ilvl w:val="0"/>
                <w:numId w:val="0"/>
              </w:numPr>
              <w:spacing w:after="0" w:line="360" w:lineRule="auto"/>
              <w:ind w:firstLine="420" w:firstLineChars="200"/>
              <w:contextualSpacing/>
              <w:jc w:val="center"/>
              <w:rPr>
                <w:rFonts w:hint="default" w:ascii="宋体" w:hAnsi="宋体" w:eastAsia="宋体" w:cs="宋体"/>
                <w:b w:val="0"/>
                <w:bCs/>
                <w:color w:val="auto"/>
                <w:kern w:val="2"/>
                <w:sz w:val="21"/>
                <w:szCs w:val="21"/>
                <w:highlight w:val="none"/>
                <w:vertAlign w:val="baseline"/>
                <w:lang w:val="en-US" w:eastAsia="zh-CN" w:bidi="ar-SA"/>
              </w:rPr>
            </w:pPr>
            <w:r>
              <w:rPr>
                <w:rFonts w:hint="eastAsia" w:ascii="宋体" w:hAnsi="宋体" w:eastAsia="宋体" w:cs="宋体"/>
                <w:b w:val="0"/>
                <w:bCs/>
                <w:color w:val="auto"/>
                <w:kern w:val="2"/>
                <w:sz w:val="21"/>
                <w:szCs w:val="21"/>
                <w:highlight w:val="none"/>
                <w:vertAlign w:val="baseline"/>
                <w:lang w:val="en-US" w:eastAsia="zh-CN" w:bidi="ar-SA"/>
              </w:rPr>
              <w:t>岗位人员要求</w:t>
            </w:r>
          </w:p>
        </w:tc>
        <w:tc>
          <w:tcPr>
            <w:tcW w:w="829" w:type="dxa"/>
            <w:noWrap w:val="0"/>
            <w:vAlign w:val="center"/>
          </w:tcPr>
          <w:p w14:paraId="2F2C82F5">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r>
              <w:rPr>
                <w:rFonts w:hint="eastAsia" w:ascii="宋体" w:hAnsi="宋体" w:eastAsia="宋体" w:cs="宋体"/>
                <w:b w:val="0"/>
                <w:bCs/>
                <w:color w:val="auto"/>
                <w:kern w:val="2"/>
                <w:sz w:val="21"/>
                <w:szCs w:val="21"/>
                <w:highlight w:val="none"/>
                <w:vertAlign w:val="baseline"/>
                <w:lang w:val="en-US" w:eastAsia="zh-CN" w:bidi="ar-SA"/>
              </w:rPr>
              <w:t>备注</w:t>
            </w:r>
          </w:p>
        </w:tc>
      </w:tr>
      <w:tr w14:paraId="23A88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1129" w:type="dxa"/>
            <w:noWrap w:val="0"/>
            <w:vAlign w:val="center"/>
          </w:tcPr>
          <w:p w14:paraId="08DB1630">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r>
              <w:rPr>
                <w:rFonts w:hint="eastAsia" w:ascii="宋体" w:hAnsi="宋体" w:eastAsia="宋体" w:cs="宋体"/>
                <w:b w:val="0"/>
                <w:bCs/>
                <w:color w:val="auto"/>
                <w:kern w:val="2"/>
                <w:sz w:val="21"/>
                <w:szCs w:val="21"/>
                <w:highlight w:val="none"/>
                <w:vertAlign w:val="baseline"/>
                <w:lang w:val="en-US" w:eastAsia="zh-CN" w:bidi="ar-SA"/>
              </w:rPr>
              <w:t>项目经理</w:t>
            </w:r>
          </w:p>
        </w:tc>
        <w:tc>
          <w:tcPr>
            <w:tcW w:w="1713" w:type="dxa"/>
            <w:noWrap w:val="0"/>
            <w:vAlign w:val="center"/>
          </w:tcPr>
          <w:p w14:paraId="7FAE087C">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r>
              <w:rPr>
                <w:rFonts w:hint="eastAsia" w:ascii="宋体" w:hAnsi="宋体" w:eastAsia="宋体" w:cs="宋体"/>
                <w:b w:val="0"/>
                <w:bCs/>
                <w:color w:val="auto"/>
                <w:kern w:val="2"/>
                <w:sz w:val="21"/>
                <w:szCs w:val="21"/>
                <w:highlight w:val="none"/>
                <w:vertAlign w:val="baseline"/>
                <w:lang w:val="en-US" w:eastAsia="zh-CN" w:bidi="ar-SA"/>
              </w:rPr>
              <w:t>1人</w:t>
            </w:r>
          </w:p>
        </w:tc>
        <w:tc>
          <w:tcPr>
            <w:tcW w:w="5617" w:type="dxa"/>
            <w:noWrap w:val="0"/>
            <w:vAlign w:val="center"/>
          </w:tcPr>
          <w:p w14:paraId="64BFD560">
            <w:pPr>
              <w:widowControl w:val="0"/>
              <w:numPr>
                <w:ilvl w:val="0"/>
                <w:numId w:val="0"/>
              </w:numPr>
              <w:spacing w:after="0" w:line="360" w:lineRule="auto"/>
              <w:ind w:firstLine="420" w:firstLineChars="200"/>
              <w:contextualSpacing/>
              <w:jc w:val="left"/>
              <w:rPr>
                <w:rFonts w:hint="eastAsia" w:ascii="宋体" w:hAnsi="宋体" w:eastAsia="宋体" w:cs="宋体"/>
                <w:b w:val="0"/>
                <w:bCs/>
                <w:color w:val="auto"/>
                <w:kern w:val="2"/>
                <w:sz w:val="21"/>
                <w:szCs w:val="21"/>
                <w:highlight w:val="none"/>
                <w:vertAlign w:val="baseline"/>
                <w:lang w:val="en-US" w:eastAsia="zh-CN" w:bidi="ar-SA"/>
              </w:rPr>
            </w:pPr>
            <w:r>
              <w:rPr>
                <w:rFonts w:hint="eastAsia" w:ascii="宋体" w:hAnsi="宋体" w:eastAsia="宋体" w:cs="宋体"/>
                <w:b w:val="0"/>
                <w:bCs/>
                <w:color w:val="auto"/>
                <w:kern w:val="2"/>
                <w:sz w:val="21"/>
                <w:szCs w:val="21"/>
                <w:highlight w:val="none"/>
                <w:vertAlign w:val="baseline"/>
                <w:lang w:val="en-US" w:eastAsia="zh-CN" w:bidi="ar-SA"/>
              </w:rPr>
              <w:t>55周岁以下。大专及以上文化程度，身体健康，吃苦耐劳，有责任心。具有组织绿化养护的能力与经验。</w:t>
            </w:r>
          </w:p>
        </w:tc>
        <w:tc>
          <w:tcPr>
            <w:tcW w:w="829" w:type="dxa"/>
            <w:noWrap w:val="0"/>
            <w:vAlign w:val="center"/>
          </w:tcPr>
          <w:p w14:paraId="3BF77203">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p>
        </w:tc>
      </w:tr>
      <w:tr w14:paraId="2DCE7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noWrap w:val="0"/>
            <w:vAlign w:val="center"/>
          </w:tcPr>
          <w:p w14:paraId="6A7D0E65">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r>
              <w:rPr>
                <w:rFonts w:hint="eastAsia" w:ascii="宋体" w:hAnsi="宋体" w:eastAsia="宋体" w:cs="宋体"/>
                <w:b w:val="0"/>
                <w:bCs/>
                <w:color w:val="auto"/>
                <w:kern w:val="2"/>
                <w:sz w:val="21"/>
                <w:szCs w:val="21"/>
                <w:highlight w:val="none"/>
                <w:vertAlign w:val="baseline"/>
                <w:lang w:val="en-US" w:eastAsia="zh-CN" w:bidi="ar-SA"/>
              </w:rPr>
              <w:t>养护作业人员</w:t>
            </w:r>
          </w:p>
        </w:tc>
        <w:tc>
          <w:tcPr>
            <w:tcW w:w="1713" w:type="dxa"/>
            <w:noWrap w:val="0"/>
            <w:vAlign w:val="center"/>
          </w:tcPr>
          <w:p w14:paraId="3625E749">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r>
              <w:rPr>
                <w:rFonts w:hint="eastAsia" w:ascii="宋体" w:hAnsi="宋体" w:eastAsia="宋体" w:cs="宋体"/>
                <w:b w:val="0"/>
                <w:bCs/>
                <w:color w:val="auto"/>
                <w:kern w:val="2"/>
                <w:sz w:val="21"/>
                <w:szCs w:val="21"/>
                <w:highlight w:val="none"/>
                <w:vertAlign w:val="baseline"/>
                <w:lang w:val="en-US" w:eastAsia="zh-CN" w:bidi="ar-SA"/>
              </w:rPr>
              <w:t>9人</w:t>
            </w:r>
          </w:p>
        </w:tc>
        <w:tc>
          <w:tcPr>
            <w:tcW w:w="5617" w:type="dxa"/>
            <w:noWrap w:val="0"/>
            <w:vAlign w:val="center"/>
          </w:tcPr>
          <w:p w14:paraId="3C560F6B">
            <w:pPr>
              <w:widowControl w:val="0"/>
              <w:numPr>
                <w:ilvl w:val="0"/>
                <w:numId w:val="0"/>
              </w:numPr>
              <w:spacing w:after="0" w:line="360" w:lineRule="auto"/>
              <w:ind w:firstLine="420" w:firstLineChars="200"/>
              <w:contextualSpacing/>
              <w:jc w:val="left"/>
              <w:rPr>
                <w:rFonts w:hint="eastAsia" w:ascii="宋体" w:hAnsi="宋体" w:eastAsia="宋体" w:cs="宋体"/>
                <w:b w:val="0"/>
                <w:bCs/>
                <w:color w:val="auto"/>
                <w:kern w:val="2"/>
                <w:sz w:val="21"/>
                <w:szCs w:val="21"/>
                <w:highlight w:val="none"/>
                <w:vertAlign w:val="baseline"/>
                <w:lang w:val="en-US" w:eastAsia="zh-CN" w:bidi="ar-SA"/>
              </w:rPr>
            </w:pPr>
            <w:r>
              <w:rPr>
                <w:rFonts w:hint="eastAsia" w:ascii="宋体" w:hAnsi="宋体" w:eastAsia="宋体" w:cs="宋体"/>
                <w:b w:val="0"/>
                <w:bCs/>
                <w:color w:val="auto"/>
                <w:kern w:val="2"/>
                <w:sz w:val="21"/>
                <w:szCs w:val="21"/>
                <w:highlight w:val="none"/>
                <w:vertAlign w:val="baseline"/>
                <w:lang w:val="en-US" w:eastAsia="zh-CN" w:bidi="ar-SA"/>
              </w:rPr>
              <w:t>女性 50周岁以下，男性 60周岁以下。所有人员身体健康，具有一定的绿化养护经验，工作效率高。</w:t>
            </w:r>
          </w:p>
        </w:tc>
        <w:tc>
          <w:tcPr>
            <w:tcW w:w="829" w:type="dxa"/>
            <w:noWrap w:val="0"/>
            <w:vAlign w:val="center"/>
          </w:tcPr>
          <w:p w14:paraId="7E643D85">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p>
        </w:tc>
      </w:tr>
    </w:tbl>
    <w:p w14:paraId="55A91B10">
      <w:pPr>
        <w:widowControl w:val="0"/>
        <w:numPr>
          <w:ilvl w:val="0"/>
          <w:numId w:val="0"/>
        </w:numPr>
        <w:spacing w:line="360" w:lineRule="auto"/>
        <w:ind w:leftChars="0" w:firstLine="420" w:firstLineChars="200"/>
        <w:contextualSpacing/>
        <w:jc w:val="both"/>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4.2★拟配备养护车辆数量（自有或租赁）：</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92"/>
        <w:gridCol w:w="1725"/>
        <w:gridCol w:w="4041"/>
      </w:tblGrid>
      <w:tr w14:paraId="6F1CC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3492" w:type="dxa"/>
            <w:noWrap w:val="0"/>
            <w:vAlign w:val="top"/>
          </w:tcPr>
          <w:p w14:paraId="30B164BD">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r>
              <w:rPr>
                <w:rFonts w:hint="eastAsia" w:ascii="宋体" w:hAnsi="宋体" w:eastAsia="宋体" w:cs="宋体"/>
                <w:b w:val="0"/>
                <w:bCs/>
                <w:color w:val="auto"/>
                <w:kern w:val="2"/>
                <w:sz w:val="21"/>
                <w:szCs w:val="21"/>
                <w:highlight w:val="none"/>
                <w:vertAlign w:val="baseline"/>
                <w:lang w:val="en-US" w:eastAsia="zh-CN" w:bidi="ar-SA"/>
              </w:rPr>
              <w:t>车辆</w:t>
            </w:r>
          </w:p>
        </w:tc>
        <w:tc>
          <w:tcPr>
            <w:tcW w:w="1725" w:type="dxa"/>
            <w:noWrap w:val="0"/>
            <w:vAlign w:val="top"/>
          </w:tcPr>
          <w:p w14:paraId="4A91913E">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r>
              <w:rPr>
                <w:rFonts w:hint="eastAsia" w:ascii="宋体" w:hAnsi="宋体" w:eastAsia="宋体" w:cs="宋体"/>
                <w:b w:val="0"/>
                <w:bCs/>
                <w:color w:val="auto"/>
                <w:kern w:val="2"/>
                <w:sz w:val="21"/>
                <w:szCs w:val="21"/>
                <w:highlight w:val="none"/>
                <w:vertAlign w:val="baseline"/>
                <w:lang w:val="en-US" w:eastAsia="zh-CN" w:bidi="ar-SA"/>
              </w:rPr>
              <w:t>数量</w:t>
            </w:r>
          </w:p>
        </w:tc>
        <w:tc>
          <w:tcPr>
            <w:tcW w:w="4041" w:type="dxa"/>
            <w:noWrap w:val="0"/>
            <w:vAlign w:val="top"/>
          </w:tcPr>
          <w:p w14:paraId="05D638EA">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r>
              <w:rPr>
                <w:rFonts w:hint="eastAsia" w:ascii="宋体" w:hAnsi="宋体" w:eastAsia="宋体" w:cs="宋体"/>
                <w:b w:val="0"/>
                <w:bCs/>
                <w:color w:val="auto"/>
                <w:kern w:val="2"/>
                <w:sz w:val="21"/>
                <w:szCs w:val="21"/>
                <w:highlight w:val="none"/>
                <w:vertAlign w:val="baseline"/>
                <w:lang w:val="en-US" w:eastAsia="zh-CN" w:bidi="ar-SA"/>
              </w:rPr>
              <w:t>备注</w:t>
            </w:r>
          </w:p>
        </w:tc>
      </w:tr>
      <w:tr w14:paraId="2A5AA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3492" w:type="dxa"/>
            <w:noWrap w:val="0"/>
            <w:vAlign w:val="top"/>
          </w:tcPr>
          <w:p w14:paraId="25E49342">
            <w:pPr>
              <w:widowControl w:val="0"/>
              <w:numPr>
                <w:ilvl w:val="0"/>
                <w:numId w:val="0"/>
              </w:numPr>
              <w:spacing w:after="0" w:line="360" w:lineRule="auto"/>
              <w:ind w:left="0" w:leftChars="0" w:firstLine="0" w:firstLineChars="0"/>
              <w:contextualSpacing/>
              <w:jc w:val="center"/>
              <w:rPr>
                <w:rFonts w:hint="eastAsia" w:ascii="宋体" w:hAnsi="宋体" w:eastAsia="宋体" w:cs="宋体"/>
                <w:b w:val="0"/>
                <w:bCs/>
                <w:color w:val="auto"/>
                <w:kern w:val="2"/>
                <w:sz w:val="21"/>
                <w:szCs w:val="21"/>
                <w:highlight w:val="none"/>
                <w:vertAlign w:val="baseline"/>
                <w:lang w:val="en-US" w:eastAsia="zh-CN" w:bidi="ar-SA"/>
              </w:rPr>
            </w:pPr>
            <w:r>
              <w:rPr>
                <w:rFonts w:hint="eastAsia" w:ascii="宋体" w:hAnsi="宋体" w:eastAsia="宋体" w:cs="宋体"/>
                <w:b w:val="0"/>
                <w:bCs/>
                <w:color w:val="auto"/>
                <w:kern w:val="2"/>
                <w:sz w:val="21"/>
                <w:szCs w:val="21"/>
                <w:highlight w:val="none"/>
                <w:lang w:val="en-US" w:eastAsia="zh-CN" w:bidi="ar-SA"/>
              </w:rPr>
              <w:t>自有</w:t>
            </w:r>
            <w:r>
              <w:rPr>
                <w:rFonts w:hint="eastAsia" w:ascii="Calibri" w:hAnsi="Calibri" w:eastAsia="宋体" w:cs="Times New Roman"/>
                <w:color w:val="auto"/>
                <w:kern w:val="2"/>
                <w:sz w:val="21"/>
                <w:szCs w:val="22"/>
                <w:highlight w:val="none"/>
                <w:lang w:val="en-US" w:eastAsia="zh-CN" w:bidi="ar-SA"/>
              </w:rPr>
              <w:t>绿化洒水车</w:t>
            </w:r>
          </w:p>
        </w:tc>
        <w:tc>
          <w:tcPr>
            <w:tcW w:w="1725" w:type="dxa"/>
            <w:noWrap w:val="0"/>
            <w:vAlign w:val="top"/>
          </w:tcPr>
          <w:p w14:paraId="33A85253">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r>
              <w:rPr>
                <w:rFonts w:hint="eastAsia" w:ascii="宋体" w:hAnsi="宋体" w:eastAsia="宋体" w:cs="宋体"/>
                <w:b w:val="0"/>
                <w:bCs/>
                <w:color w:val="auto"/>
                <w:kern w:val="2"/>
                <w:sz w:val="21"/>
                <w:szCs w:val="21"/>
                <w:highlight w:val="none"/>
                <w:vertAlign w:val="baseline"/>
                <w:lang w:val="en-US" w:eastAsia="zh-CN" w:bidi="ar-SA"/>
              </w:rPr>
              <w:t>1</w:t>
            </w:r>
          </w:p>
        </w:tc>
        <w:tc>
          <w:tcPr>
            <w:tcW w:w="4041" w:type="dxa"/>
            <w:noWrap w:val="0"/>
            <w:vAlign w:val="top"/>
          </w:tcPr>
          <w:p w14:paraId="0D64D2EE">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r>
              <w:rPr>
                <w:rFonts w:hint="eastAsia" w:ascii="宋体" w:hAnsi="宋体" w:eastAsia="宋体" w:cs="宋体"/>
                <w:b w:val="0"/>
                <w:bCs/>
                <w:color w:val="auto"/>
                <w:kern w:val="2"/>
                <w:sz w:val="21"/>
                <w:szCs w:val="21"/>
                <w:highlight w:val="none"/>
                <w:lang w:val="en-US" w:eastAsia="zh-CN" w:bidi="ar-SA"/>
              </w:rPr>
              <w:t>核定载量≥</w:t>
            </w:r>
            <w:r>
              <w:rPr>
                <w:rFonts w:hint="eastAsia" w:ascii="宋体" w:hAnsi="宋体" w:cs="宋体"/>
                <w:b w:val="0"/>
                <w:bCs/>
                <w:color w:val="auto"/>
                <w:kern w:val="2"/>
                <w:sz w:val="21"/>
                <w:szCs w:val="21"/>
                <w:highlight w:val="none"/>
                <w:lang w:val="en-US" w:eastAsia="zh-CN" w:bidi="ar-SA"/>
              </w:rPr>
              <w:t>3</w:t>
            </w:r>
            <w:r>
              <w:rPr>
                <w:rFonts w:hint="eastAsia" w:ascii="宋体" w:hAnsi="宋体" w:eastAsia="宋体" w:cs="宋体"/>
                <w:b w:val="0"/>
                <w:bCs/>
                <w:color w:val="auto"/>
                <w:kern w:val="2"/>
                <w:sz w:val="21"/>
                <w:szCs w:val="21"/>
                <w:highlight w:val="none"/>
                <w:lang w:val="en-US" w:eastAsia="zh-CN" w:bidi="ar-SA"/>
              </w:rPr>
              <w:t>吨</w:t>
            </w:r>
          </w:p>
        </w:tc>
      </w:tr>
      <w:tr w14:paraId="3ECC8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3492" w:type="dxa"/>
            <w:noWrap w:val="0"/>
            <w:vAlign w:val="top"/>
          </w:tcPr>
          <w:p w14:paraId="183041F0">
            <w:pPr>
              <w:widowControl w:val="0"/>
              <w:numPr>
                <w:ilvl w:val="0"/>
                <w:numId w:val="0"/>
              </w:numPr>
              <w:spacing w:after="0" w:line="360" w:lineRule="auto"/>
              <w:ind w:left="0" w:leftChars="0" w:firstLine="0" w:firstLineChars="0"/>
              <w:contextualSpacing/>
              <w:jc w:val="center"/>
              <w:rPr>
                <w:rFonts w:hint="eastAsia" w:ascii="宋体" w:hAnsi="宋体" w:eastAsia="宋体" w:cs="宋体"/>
                <w:b w:val="0"/>
                <w:bCs/>
                <w:color w:val="auto"/>
                <w:kern w:val="2"/>
                <w:sz w:val="21"/>
                <w:szCs w:val="21"/>
                <w:highlight w:val="none"/>
                <w:vertAlign w:val="baseline"/>
                <w:lang w:val="en-US" w:eastAsia="zh-CN" w:bidi="ar-SA"/>
              </w:rPr>
            </w:pPr>
            <w:r>
              <w:rPr>
                <w:rFonts w:hint="eastAsia" w:ascii="宋体" w:hAnsi="宋体" w:eastAsia="宋体" w:cs="宋体"/>
                <w:b w:val="0"/>
                <w:bCs/>
                <w:color w:val="auto"/>
                <w:kern w:val="2"/>
                <w:sz w:val="21"/>
                <w:szCs w:val="21"/>
                <w:highlight w:val="none"/>
                <w:lang w:val="en-US" w:eastAsia="zh-CN" w:bidi="ar-SA"/>
              </w:rPr>
              <w:t>自有</w:t>
            </w:r>
            <w:r>
              <w:rPr>
                <w:rFonts w:hint="eastAsia" w:ascii="Calibri" w:hAnsi="Calibri" w:eastAsia="宋体" w:cs="Times New Roman"/>
                <w:color w:val="auto"/>
                <w:kern w:val="2"/>
                <w:sz w:val="21"/>
                <w:szCs w:val="22"/>
                <w:highlight w:val="none"/>
                <w:lang w:val="en-US" w:eastAsia="zh-CN" w:bidi="ar-SA"/>
              </w:rPr>
              <w:t>专业登高车</w:t>
            </w:r>
          </w:p>
        </w:tc>
        <w:tc>
          <w:tcPr>
            <w:tcW w:w="1725" w:type="dxa"/>
            <w:noWrap w:val="0"/>
            <w:vAlign w:val="top"/>
          </w:tcPr>
          <w:p w14:paraId="43881FCB">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r>
              <w:rPr>
                <w:rFonts w:hint="eastAsia" w:ascii="宋体" w:hAnsi="宋体" w:eastAsia="宋体" w:cs="宋体"/>
                <w:b w:val="0"/>
                <w:bCs/>
                <w:color w:val="auto"/>
                <w:kern w:val="2"/>
                <w:sz w:val="21"/>
                <w:szCs w:val="21"/>
                <w:highlight w:val="none"/>
                <w:vertAlign w:val="baseline"/>
                <w:lang w:val="en-US" w:eastAsia="zh-CN" w:bidi="ar-SA"/>
              </w:rPr>
              <w:t>1</w:t>
            </w:r>
          </w:p>
        </w:tc>
        <w:tc>
          <w:tcPr>
            <w:tcW w:w="4041" w:type="dxa"/>
            <w:noWrap w:val="0"/>
            <w:vAlign w:val="top"/>
          </w:tcPr>
          <w:p w14:paraId="218B275F">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r>
              <w:rPr>
                <w:rFonts w:hint="eastAsia" w:ascii="宋体" w:hAnsi="宋体" w:eastAsia="宋体" w:cs="宋体"/>
                <w:b w:val="0"/>
                <w:bCs/>
                <w:color w:val="auto"/>
                <w:kern w:val="2"/>
                <w:sz w:val="21"/>
                <w:szCs w:val="21"/>
                <w:highlight w:val="none"/>
                <w:lang w:val="en-US" w:eastAsia="zh-CN" w:bidi="ar-SA"/>
              </w:rPr>
              <w:t>登高范围≥10米</w:t>
            </w:r>
          </w:p>
        </w:tc>
      </w:tr>
      <w:tr w14:paraId="4D4DE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3492" w:type="dxa"/>
            <w:noWrap w:val="0"/>
            <w:vAlign w:val="top"/>
          </w:tcPr>
          <w:p w14:paraId="040D1B79">
            <w:pPr>
              <w:widowControl w:val="0"/>
              <w:numPr>
                <w:ilvl w:val="0"/>
                <w:numId w:val="0"/>
              </w:numPr>
              <w:spacing w:after="0" w:line="360" w:lineRule="auto"/>
              <w:ind w:firstLine="420" w:firstLineChars="200"/>
              <w:contextualSpacing/>
              <w:jc w:val="center"/>
              <w:rPr>
                <w:rFonts w:hint="default" w:ascii="宋体" w:hAnsi="宋体" w:eastAsia="宋体" w:cs="宋体"/>
                <w:b w:val="0"/>
                <w:bCs/>
                <w:color w:val="auto"/>
                <w:kern w:val="2"/>
                <w:sz w:val="21"/>
                <w:szCs w:val="21"/>
                <w:highlight w:val="none"/>
                <w:vertAlign w:val="baseline"/>
                <w:lang w:val="en-US" w:eastAsia="zh-CN" w:bidi="ar-SA"/>
              </w:rPr>
            </w:pPr>
            <w:r>
              <w:rPr>
                <w:rFonts w:hint="eastAsia" w:ascii="宋体" w:hAnsi="宋体" w:eastAsia="宋体" w:cs="宋体"/>
                <w:b w:val="0"/>
                <w:bCs/>
                <w:color w:val="auto"/>
                <w:kern w:val="2"/>
                <w:sz w:val="21"/>
                <w:szCs w:val="21"/>
                <w:highlight w:val="none"/>
                <w:lang w:val="en-US" w:eastAsia="zh-CN" w:bidi="ar-SA"/>
              </w:rPr>
              <w:t>自有</w:t>
            </w:r>
            <w:r>
              <w:rPr>
                <w:rFonts w:hint="eastAsia" w:ascii="宋体" w:hAnsi="宋体" w:eastAsia="宋体" w:cs="宋体"/>
                <w:b w:val="0"/>
                <w:bCs/>
                <w:color w:val="auto"/>
                <w:kern w:val="2"/>
                <w:sz w:val="21"/>
                <w:szCs w:val="21"/>
                <w:highlight w:val="none"/>
                <w:vertAlign w:val="baseline"/>
                <w:lang w:val="en-US" w:eastAsia="zh-CN" w:bidi="ar-SA"/>
              </w:rPr>
              <w:t>专用农药喷洒车</w:t>
            </w:r>
          </w:p>
        </w:tc>
        <w:tc>
          <w:tcPr>
            <w:tcW w:w="1725" w:type="dxa"/>
            <w:noWrap w:val="0"/>
            <w:vAlign w:val="top"/>
          </w:tcPr>
          <w:p w14:paraId="580B6AB1">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r>
              <w:rPr>
                <w:rFonts w:hint="eastAsia" w:ascii="宋体" w:hAnsi="宋体" w:eastAsia="宋体" w:cs="宋体"/>
                <w:b w:val="0"/>
                <w:bCs/>
                <w:color w:val="auto"/>
                <w:kern w:val="2"/>
                <w:sz w:val="21"/>
                <w:szCs w:val="21"/>
                <w:highlight w:val="none"/>
                <w:vertAlign w:val="baseline"/>
                <w:lang w:val="en-US" w:eastAsia="zh-CN" w:bidi="ar-SA"/>
              </w:rPr>
              <w:t>1</w:t>
            </w:r>
          </w:p>
        </w:tc>
        <w:tc>
          <w:tcPr>
            <w:tcW w:w="4041" w:type="dxa"/>
            <w:noWrap w:val="0"/>
            <w:vAlign w:val="top"/>
          </w:tcPr>
          <w:p w14:paraId="1C30EFDB">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r>
              <w:rPr>
                <w:rFonts w:hint="eastAsia" w:ascii="宋体" w:hAnsi="宋体" w:eastAsia="宋体" w:cs="宋体"/>
                <w:b w:val="0"/>
                <w:bCs/>
                <w:color w:val="auto"/>
                <w:kern w:val="2"/>
                <w:sz w:val="21"/>
                <w:szCs w:val="21"/>
                <w:highlight w:val="none"/>
                <w:vertAlign w:val="baseline"/>
                <w:lang w:val="en-US" w:eastAsia="zh-CN" w:bidi="ar-SA"/>
              </w:rPr>
              <w:t>/</w:t>
            </w:r>
          </w:p>
        </w:tc>
      </w:tr>
    </w:tbl>
    <w:p w14:paraId="57CA78C1">
      <w:pPr>
        <w:widowControl w:val="0"/>
        <w:numPr>
          <w:ilvl w:val="0"/>
          <w:numId w:val="0"/>
        </w:numPr>
        <w:spacing w:line="360" w:lineRule="auto"/>
        <w:ind w:leftChars="0" w:firstLine="420" w:firstLineChars="200"/>
        <w:contextualSpacing/>
        <w:jc w:val="both"/>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4.3注：以上★项为本次采购的实质性要求不允许负偏离，投标时无须提供管养人员及养护车辆的具体信息或资料。</w:t>
      </w:r>
    </w:p>
    <w:p w14:paraId="2D7F369B">
      <w:pPr>
        <w:widowControl w:val="0"/>
        <w:numPr>
          <w:ilvl w:val="0"/>
          <w:numId w:val="0"/>
        </w:numPr>
        <w:spacing w:line="360" w:lineRule="auto"/>
        <w:ind w:leftChars="0" w:firstLine="420" w:firstLineChars="200"/>
        <w:contextualSpacing/>
        <w:jc w:val="both"/>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①本项目养护合同签订后，供应商按照响应文件中承诺的人员数量及其他内容，向采购人上报管养人员名单。采购人在合同执行期间按照乙方上报的管养人员名单明细进行定期或不定期考勤，若不满足以上条件，采购人有权解除合同。</w:t>
      </w:r>
    </w:p>
    <w:p w14:paraId="6F08ED90">
      <w:pPr>
        <w:widowControl w:val="0"/>
        <w:numPr>
          <w:ilvl w:val="0"/>
          <w:numId w:val="0"/>
        </w:numPr>
        <w:spacing w:line="360" w:lineRule="auto"/>
        <w:ind w:leftChars="0" w:firstLine="420" w:firstLineChars="200"/>
        <w:contextualSpacing/>
        <w:jc w:val="both"/>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②本项目养护合同签订后，供应商应按照响应文件中承诺的车辆、设备数量及其他内容，向采购人上报所有养护车辆、设备的信息资料，包括但不限于行驶证（若需要）、发票或购销合同</w:t>
      </w:r>
      <w:r>
        <w:rPr>
          <w:rFonts w:hint="eastAsia" w:ascii="宋体" w:hAnsi="宋体" w:cs="宋体"/>
          <w:b w:val="0"/>
          <w:bCs/>
          <w:color w:val="auto"/>
          <w:kern w:val="2"/>
          <w:sz w:val="21"/>
          <w:szCs w:val="21"/>
          <w:highlight w:val="none"/>
          <w:lang w:val="en-US" w:eastAsia="zh-CN" w:bidi="ar-SA"/>
        </w:rPr>
        <w:t>（自有提供）</w:t>
      </w:r>
      <w:r>
        <w:rPr>
          <w:rFonts w:hint="eastAsia" w:ascii="宋体" w:hAnsi="宋体" w:eastAsia="宋体" w:cs="宋体"/>
          <w:b w:val="0"/>
          <w:bCs/>
          <w:color w:val="auto"/>
          <w:kern w:val="2"/>
          <w:sz w:val="21"/>
          <w:szCs w:val="21"/>
          <w:highlight w:val="none"/>
          <w:lang w:val="en-US" w:eastAsia="zh-CN" w:bidi="ar-SA"/>
        </w:rPr>
        <w:t>、租赁合同</w:t>
      </w:r>
      <w:r>
        <w:rPr>
          <w:rFonts w:hint="eastAsia" w:ascii="宋体" w:hAnsi="宋体" w:cs="宋体"/>
          <w:b w:val="0"/>
          <w:bCs/>
          <w:color w:val="auto"/>
          <w:kern w:val="2"/>
          <w:sz w:val="21"/>
          <w:szCs w:val="21"/>
          <w:highlight w:val="none"/>
          <w:lang w:val="en-US" w:eastAsia="zh-CN" w:bidi="ar-SA"/>
        </w:rPr>
        <w:t>（</w:t>
      </w:r>
      <w:r>
        <w:rPr>
          <w:rFonts w:hint="eastAsia" w:ascii="宋体" w:hAnsi="宋体" w:eastAsia="宋体" w:cs="宋体"/>
          <w:b w:val="0"/>
          <w:bCs/>
          <w:color w:val="auto"/>
          <w:kern w:val="2"/>
          <w:sz w:val="21"/>
          <w:szCs w:val="21"/>
          <w:highlight w:val="none"/>
          <w:lang w:val="en-US" w:eastAsia="zh-CN" w:bidi="ar-SA"/>
        </w:rPr>
        <w:t>租赁</w:t>
      </w:r>
      <w:r>
        <w:rPr>
          <w:rFonts w:hint="eastAsia" w:ascii="宋体" w:hAnsi="宋体" w:cs="宋体"/>
          <w:b w:val="0"/>
          <w:bCs/>
          <w:color w:val="auto"/>
          <w:kern w:val="2"/>
          <w:sz w:val="21"/>
          <w:szCs w:val="21"/>
          <w:highlight w:val="none"/>
          <w:lang w:val="en-US" w:eastAsia="zh-CN" w:bidi="ar-SA"/>
        </w:rPr>
        <w:t>提供）</w:t>
      </w:r>
      <w:r>
        <w:rPr>
          <w:rFonts w:hint="eastAsia" w:ascii="宋体" w:hAnsi="宋体" w:eastAsia="宋体" w:cs="宋体"/>
          <w:b w:val="0"/>
          <w:bCs/>
          <w:color w:val="auto"/>
          <w:kern w:val="2"/>
          <w:sz w:val="21"/>
          <w:szCs w:val="21"/>
          <w:highlight w:val="none"/>
          <w:lang w:val="en-US" w:eastAsia="zh-CN" w:bidi="ar-SA"/>
        </w:rPr>
        <w:t>等。</w:t>
      </w:r>
    </w:p>
    <w:p w14:paraId="795F120E">
      <w:pPr>
        <w:widowControl w:val="0"/>
        <w:numPr>
          <w:ilvl w:val="0"/>
          <w:numId w:val="0"/>
        </w:numPr>
        <w:spacing w:line="360" w:lineRule="auto"/>
        <w:ind w:leftChars="0" w:firstLine="420" w:firstLineChars="200"/>
        <w:contextualSpacing/>
        <w:jc w:val="both"/>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③如未按以上①、②要求执行，采购人取消其中标资格，其保证金不予退还；给采购人造成的损失超过保证金数额的，中标供应商还应当对超过部分予以赔偿。采购人可以按照评标委员会提出的中标候选人名单排序依次确定其他中标候选人为中标供应商，依次确定其他中标候选人与采购人预期差距较大，或者对采购人明显不利的，采购人可以重新招标。</w:t>
      </w:r>
    </w:p>
    <w:p w14:paraId="4D426F28">
      <w:pPr>
        <w:widowControl w:val="0"/>
        <w:numPr>
          <w:ilvl w:val="0"/>
          <w:numId w:val="0"/>
        </w:numPr>
        <w:spacing w:line="360" w:lineRule="auto"/>
        <w:ind w:leftChars="0" w:firstLine="420" w:firstLineChars="200"/>
        <w:contextualSpacing/>
        <w:jc w:val="both"/>
        <w:rPr>
          <w:rFonts w:hint="default"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4.4供应商应（自有或租赁）</w:t>
      </w:r>
      <w:r>
        <w:rPr>
          <w:rFonts w:hint="eastAsia" w:ascii="宋体" w:hAnsi="宋体" w:cs="宋体"/>
          <w:b w:val="0"/>
          <w:bCs/>
          <w:color w:val="auto"/>
          <w:kern w:val="2"/>
          <w:sz w:val="21"/>
          <w:szCs w:val="21"/>
          <w:highlight w:val="none"/>
          <w:lang w:val="en-US" w:eastAsia="zh-CN" w:bidi="ar-SA"/>
        </w:rPr>
        <w:t>不少于1台</w:t>
      </w:r>
      <w:r>
        <w:rPr>
          <w:rFonts w:hint="eastAsia" w:ascii="宋体" w:hAnsi="宋体" w:eastAsia="宋体" w:cs="宋体"/>
          <w:b w:val="0"/>
          <w:bCs/>
          <w:color w:val="auto"/>
          <w:kern w:val="2"/>
          <w:sz w:val="21"/>
          <w:szCs w:val="21"/>
          <w:highlight w:val="none"/>
          <w:lang w:val="en-US" w:eastAsia="zh-CN" w:bidi="ar-SA"/>
        </w:rPr>
        <w:t>绿化机械设备，以满足本项目实际绿化养护需求，包括</w:t>
      </w:r>
      <w:r>
        <w:rPr>
          <w:rFonts w:hint="eastAsia" w:ascii="宋体" w:hAnsi="宋体" w:cs="宋体"/>
          <w:b w:val="0"/>
          <w:bCs/>
          <w:color w:val="auto"/>
          <w:kern w:val="2"/>
          <w:sz w:val="21"/>
          <w:szCs w:val="21"/>
          <w:highlight w:val="none"/>
          <w:lang w:val="en-US" w:eastAsia="zh-CN" w:bidi="ar-SA"/>
        </w:rPr>
        <w:t>但不限于</w:t>
      </w:r>
      <w:r>
        <w:rPr>
          <w:rFonts w:hint="eastAsia" w:ascii="宋体" w:hAnsi="宋体" w:eastAsia="宋体" w:cs="宋体"/>
          <w:b w:val="0"/>
          <w:bCs/>
          <w:color w:val="auto"/>
          <w:kern w:val="2"/>
          <w:sz w:val="21"/>
          <w:szCs w:val="21"/>
          <w:highlight w:val="none"/>
          <w:lang w:val="en-US" w:eastAsia="zh-CN" w:bidi="ar-SA"/>
        </w:rPr>
        <w:t>割灌机、绿篱机、草坪机，油锯、吹风机</w:t>
      </w:r>
      <w:r>
        <w:rPr>
          <w:rFonts w:hint="eastAsia" w:ascii="宋体" w:hAnsi="宋体" w:cs="宋体"/>
          <w:b w:val="0"/>
          <w:bCs/>
          <w:color w:val="auto"/>
          <w:kern w:val="2"/>
          <w:sz w:val="21"/>
          <w:szCs w:val="21"/>
          <w:highlight w:val="none"/>
          <w:lang w:val="en-US" w:eastAsia="zh-CN" w:bidi="ar-SA"/>
        </w:rPr>
        <w:t>等</w:t>
      </w:r>
      <w:r>
        <w:rPr>
          <w:rFonts w:hint="eastAsia" w:ascii="宋体" w:hAnsi="宋体" w:eastAsia="宋体" w:cs="宋体"/>
          <w:b w:val="0"/>
          <w:bCs/>
          <w:color w:val="auto"/>
          <w:kern w:val="2"/>
          <w:sz w:val="21"/>
          <w:szCs w:val="21"/>
          <w:highlight w:val="none"/>
          <w:lang w:val="en-US" w:eastAsia="zh-CN" w:bidi="ar-SA"/>
        </w:rPr>
        <w:t>。绿化机械设备需在响应文件中提供</w:t>
      </w:r>
      <w:r>
        <w:rPr>
          <w:rFonts w:hint="eastAsia" w:ascii="宋体" w:hAnsi="宋体" w:eastAsia="宋体" w:cs="宋体"/>
          <w:kern w:val="2"/>
          <w:sz w:val="21"/>
          <w:szCs w:val="21"/>
          <w:highlight w:val="none"/>
          <w:lang w:val="en-US" w:eastAsia="zh-CN" w:bidi="ar-SA"/>
        </w:rPr>
        <w:t>购买发票或租赁合同。</w:t>
      </w:r>
    </w:p>
    <w:p w14:paraId="35ADE41E">
      <w:pPr>
        <w:widowControl w:val="0"/>
        <w:numPr>
          <w:ilvl w:val="0"/>
          <w:numId w:val="0"/>
        </w:numPr>
        <w:spacing w:line="360" w:lineRule="auto"/>
        <w:ind w:leftChars="0" w:firstLine="420" w:firstLineChars="200"/>
        <w:contextualSpacing/>
        <w:jc w:val="both"/>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5、养护费结算方式及其他：</w:t>
      </w:r>
    </w:p>
    <w:p w14:paraId="2A7C5AF3">
      <w:pPr>
        <w:widowControl w:val="0"/>
        <w:numPr>
          <w:ilvl w:val="0"/>
          <w:numId w:val="0"/>
        </w:numPr>
        <w:spacing w:line="360" w:lineRule="auto"/>
        <w:ind w:leftChars="0" w:firstLine="420" w:firstLineChars="200"/>
        <w:contextualSpacing/>
        <w:jc w:val="both"/>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5.1合同签订后，常州市金坛区朱林镇人民政府向中标供应商预付合同总金额10%的预付款，一年养护期满且经采购人考核合格后30个工作日内支付结算养护款。</w:t>
      </w:r>
    </w:p>
    <w:p w14:paraId="5905C45D">
      <w:pPr>
        <w:widowControl w:val="0"/>
        <w:numPr>
          <w:ilvl w:val="0"/>
          <w:numId w:val="0"/>
        </w:numPr>
        <w:spacing w:line="360" w:lineRule="auto"/>
        <w:ind w:leftChars="0" w:firstLine="420" w:firstLineChars="200"/>
        <w:contextualSpacing/>
        <w:jc w:val="both"/>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5.2结算养护款=结算养护款1+结算养护款2-考核扣款</w:t>
      </w:r>
    </w:p>
    <w:p w14:paraId="172B7A48">
      <w:pPr>
        <w:widowControl w:val="0"/>
        <w:numPr>
          <w:ilvl w:val="0"/>
          <w:numId w:val="0"/>
        </w:numPr>
        <w:spacing w:line="360" w:lineRule="auto"/>
        <w:ind w:leftChars="0" w:firstLine="420" w:firstLineChars="200"/>
        <w:contextualSpacing/>
        <w:jc w:val="both"/>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5.2.1结算养护款1=养护面积*中标月养护单价*养护月份（不足一个月按30天进行折算，四舍五入保留两位小数）</w:t>
      </w:r>
    </w:p>
    <w:p w14:paraId="47C1CA2A">
      <w:pPr>
        <w:widowControl w:val="0"/>
        <w:numPr>
          <w:ilvl w:val="0"/>
          <w:numId w:val="0"/>
        </w:numPr>
        <w:spacing w:line="360" w:lineRule="auto"/>
        <w:ind w:leftChars="0" w:firstLine="420" w:firstLineChars="200"/>
        <w:contextualSpacing/>
        <w:jc w:val="both"/>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5.2.2结算养护款2=龙溪大道两侧（直别路-华林路）除草+园区段修剪、除草（养护期中的一次性费用）。由采购人验收合格后计入结算养护款。</w:t>
      </w:r>
    </w:p>
    <w:p w14:paraId="78C5B410">
      <w:pPr>
        <w:widowControl w:val="0"/>
        <w:numPr>
          <w:ilvl w:val="0"/>
          <w:numId w:val="0"/>
        </w:numPr>
        <w:spacing w:line="360" w:lineRule="auto"/>
        <w:ind w:leftChars="0" w:firstLine="420" w:firstLineChars="200"/>
        <w:contextualSpacing/>
        <w:jc w:val="both"/>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5.2.3</w:t>
      </w:r>
      <w:r>
        <w:rPr>
          <w:rFonts w:hint="eastAsia" w:ascii="宋体" w:hAnsi="宋体" w:eastAsia="宋体" w:cs="宋体"/>
          <w:kern w:val="2"/>
          <w:sz w:val="21"/>
          <w:szCs w:val="21"/>
          <w:highlight w:val="none"/>
          <w:lang w:val="zh-CN" w:eastAsia="zh-CN" w:bidi="ar-SA"/>
        </w:rPr>
        <w:t>养护标准：</w:t>
      </w:r>
      <w:r>
        <w:rPr>
          <w:rFonts w:hint="eastAsia" w:ascii="宋体" w:hAnsi="宋体" w:eastAsia="宋体" w:cs="宋体"/>
          <w:kern w:val="2"/>
          <w:sz w:val="21"/>
          <w:szCs w:val="21"/>
          <w:highlight w:val="none"/>
          <w:lang w:val="en-US" w:eastAsia="zh-CN" w:bidi="ar-SA"/>
        </w:rPr>
        <w:t>按照《朱林镇绿化养护标准》、《朱林镇绿化养护考核办法》</w:t>
      </w:r>
      <w:r>
        <w:rPr>
          <w:rFonts w:hint="eastAsia" w:ascii="宋体" w:hAnsi="宋体" w:eastAsia="宋体" w:cs="宋体"/>
          <w:kern w:val="2"/>
          <w:sz w:val="21"/>
          <w:szCs w:val="21"/>
          <w:highlight w:val="none"/>
          <w:lang w:val="zh-CN" w:eastAsia="zh-CN" w:bidi="ar-SA"/>
        </w:rPr>
        <w:t>，甲方对乙方养护管理工作进行检查、考核和打分，根据考核结果支付相应养护费用</w:t>
      </w:r>
      <w:r>
        <w:rPr>
          <w:rFonts w:hint="eastAsia" w:ascii="宋体" w:hAnsi="宋体" w:eastAsia="宋体" w:cs="宋体"/>
          <w:b w:val="0"/>
          <w:bCs/>
          <w:kern w:val="2"/>
          <w:sz w:val="21"/>
          <w:szCs w:val="21"/>
          <w:highlight w:val="none"/>
          <w:lang w:val="en-US" w:eastAsia="zh-CN" w:bidi="ar-SA"/>
        </w:rPr>
        <w:t>。</w:t>
      </w:r>
    </w:p>
    <w:p w14:paraId="67AB246F">
      <w:pPr>
        <w:widowControl w:val="0"/>
        <w:numPr>
          <w:ilvl w:val="0"/>
          <w:numId w:val="0"/>
        </w:numPr>
        <w:spacing w:line="360" w:lineRule="auto"/>
        <w:ind w:leftChars="0" w:firstLine="420" w:firstLineChars="200"/>
        <w:contextualSpacing/>
        <w:jc w:val="both"/>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5.3养护费用开票统一按照养护类发票开票。</w:t>
      </w:r>
    </w:p>
    <w:p w14:paraId="76198ED8">
      <w:pPr>
        <w:widowControl w:val="0"/>
        <w:numPr>
          <w:ilvl w:val="0"/>
          <w:numId w:val="0"/>
        </w:numPr>
        <w:spacing w:line="360" w:lineRule="auto"/>
        <w:ind w:leftChars="0" w:firstLine="420" w:firstLineChars="200"/>
        <w:contextualSpacing/>
        <w:jc w:val="both"/>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5.4因养护考核原因需要解除合同的，实际退场时间由甲方决定。</w:t>
      </w:r>
    </w:p>
    <w:p w14:paraId="6591432A">
      <w:pPr>
        <w:widowControl w:val="0"/>
        <w:numPr>
          <w:ilvl w:val="0"/>
          <w:numId w:val="0"/>
        </w:numPr>
        <w:spacing w:line="360" w:lineRule="auto"/>
        <w:ind w:leftChars="0" w:firstLine="420" w:firstLineChars="200"/>
        <w:contextualSpacing/>
        <w:jc w:val="both"/>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5.5承包人提供履约担保的形式、金额及期限的：中标供应商在合同签订前，向采购人提供相当于合同总价5%的履约保证金（中标供应商自主选择以支票、汇票、本票、保函等非现金形式缴纳或提交），采购人将在终验完毕后返还乙方履约保证金（不计息）。</w:t>
      </w:r>
    </w:p>
    <w:p w14:paraId="25FD6375">
      <w:pPr>
        <w:widowControl w:val="0"/>
        <w:numPr>
          <w:ilvl w:val="0"/>
          <w:numId w:val="0"/>
        </w:numPr>
        <w:spacing w:line="360" w:lineRule="auto"/>
        <w:ind w:firstLine="420" w:firstLineChars="200"/>
        <w:contextualSpacing/>
        <w:jc w:val="both"/>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6.其他事项：</w:t>
      </w:r>
    </w:p>
    <w:p w14:paraId="6EFFA775">
      <w:pPr>
        <w:widowControl w:val="0"/>
        <w:numPr>
          <w:ilvl w:val="0"/>
          <w:numId w:val="0"/>
        </w:numPr>
        <w:spacing w:line="360" w:lineRule="auto"/>
        <w:ind w:leftChars="0" w:firstLine="420" w:firstLineChars="200"/>
        <w:contextualSpacing/>
        <w:jc w:val="both"/>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6.1除受不可抗力影响，无需中标供应商承担责任，中标供应商原则上不允许中途变更项目负责人。其他情况下，中标供应商如需变更项目负责人的，中标供应商必须提前15日提供新的项目负责人（提供1年以来的养老保险证明，且其资质必须与原项目负责人一致或高于原项目负责人），且此行为视为不履行合同承诺的行为，采购人扣除中标供应商1万元/次，第2次进行变更的，采购人有权提前解除合同并扣全部履约保证金同时向相关部门报不良行为。</w:t>
      </w:r>
    </w:p>
    <w:p w14:paraId="1C90621E">
      <w:pPr>
        <w:widowControl w:val="0"/>
        <w:numPr>
          <w:ilvl w:val="0"/>
          <w:numId w:val="0"/>
        </w:numPr>
        <w:spacing w:line="360" w:lineRule="auto"/>
        <w:ind w:leftChars="0" w:firstLine="420" w:firstLineChars="200"/>
        <w:contextualSpacing/>
        <w:jc w:val="both"/>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6.2中标供应商在完成进场养护的现场踏勘工作后，存留并上报现状缺陷问题的清单和照片供采购单位备案，在养护合同结束及退场时交由采购人进行核查，所有超出缺陷问题清单描述的问题由中标供应商负责整改到位，并承担相应后果（具体按照合同执行）。</w:t>
      </w:r>
    </w:p>
    <w:p w14:paraId="4FCAA03E">
      <w:pPr>
        <w:widowControl w:val="0"/>
        <w:numPr>
          <w:ilvl w:val="0"/>
          <w:numId w:val="0"/>
        </w:numPr>
        <w:spacing w:line="360" w:lineRule="auto"/>
        <w:ind w:leftChars="0" w:firstLine="420" w:firstLineChars="200"/>
        <w:contextualSpacing/>
        <w:jc w:val="both"/>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6.3遇到台风、雨雪等灾难性天气时，必须按照采购人要求及时组织抢险救灾，有敷衍塞责（如不接电话、擅自离开岗位等）和抢险不力（抢险人员、各类机械、材料的组织严重不足的，缺乏安排的）情况发生，采购人有权即时终止合同并扣所有保证金，同时由中标供应商承担损失。请报价时充分考虑各类灾害（如雪灾、台风、水灾等）可能产生的费用。因自然灾害和不可抗力造成的苗木损失,经采购人确认确属中标供应商尽责的，中标供应商无需承担补植任务和补植费用（抗旱问题不在考虑范围内，植物失水造成的死亡其补植工作和费用由中标供应商承担）。</w:t>
      </w:r>
    </w:p>
    <w:p w14:paraId="176BBD9B">
      <w:pPr>
        <w:widowControl w:val="0"/>
        <w:numPr>
          <w:ilvl w:val="0"/>
          <w:numId w:val="0"/>
        </w:numPr>
        <w:spacing w:line="360" w:lineRule="auto"/>
        <w:ind w:leftChars="0" w:firstLine="420" w:firstLineChars="200"/>
        <w:contextualSpacing/>
        <w:jc w:val="both"/>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6.4绿化养护费为年度费用，含区域范围内的行道树、垂直绿化、箱式绿化、草花补植养护等。</w:t>
      </w:r>
    </w:p>
    <w:p w14:paraId="2048A1BB">
      <w:pPr>
        <w:widowControl w:val="0"/>
        <w:numPr>
          <w:ilvl w:val="0"/>
          <w:numId w:val="0"/>
        </w:numPr>
        <w:spacing w:line="360" w:lineRule="auto"/>
        <w:ind w:leftChars="0" w:firstLine="420" w:firstLineChars="200"/>
        <w:contextualSpacing/>
        <w:jc w:val="both"/>
        <w:rPr>
          <w:rFonts w:hint="default"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kern w:val="2"/>
          <w:sz w:val="21"/>
          <w:szCs w:val="21"/>
          <w:highlight w:val="none"/>
          <w:lang w:val="en-US" w:eastAsia="zh-CN" w:bidi="ar-SA"/>
        </w:rPr>
        <w:t>6.5响应人对绿化养护费进行年度报价，最终按实际发生日计算。</w:t>
      </w:r>
    </w:p>
    <w:p w14:paraId="07A6C173">
      <w:pPr>
        <w:pStyle w:val="454"/>
        <w:keepNext w:val="0"/>
        <w:keepLines w:val="0"/>
        <w:pageBreakBefore w:val="0"/>
        <w:widowControl w:val="0"/>
        <w:numPr>
          <w:ilvl w:val="0"/>
          <w:numId w:val="0"/>
        </w:numPr>
        <w:spacing w:line="440" w:lineRule="atLeast"/>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三、</w:t>
      </w:r>
      <w:r>
        <w:rPr>
          <w:rFonts w:hint="eastAsia" w:ascii="宋体" w:hAnsi="宋体" w:eastAsia="宋体" w:cs="宋体"/>
          <w:b/>
          <w:bCs w:val="0"/>
          <w:color w:val="000000" w:themeColor="text1"/>
          <w:sz w:val="24"/>
          <w:szCs w:val="24"/>
          <w:highlight w:val="none"/>
          <w14:textFill>
            <w14:solidFill>
              <w14:schemeClr w14:val="tx1"/>
            </w14:solidFill>
          </w14:textFill>
        </w:rPr>
        <w:t>采购标的对应的中小企业划分标准所属行业一览表</w:t>
      </w:r>
    </w:p>
    <w:tbl>
      <w:tblPr>
        <w:tblStyle w:val="30"/>
        <w:tblW w:w="100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5"/>
        <w:gridCol w:w="4710"/>
        <w:gridCol w:w="4358"/>
      </w:tblGrid>
      <w:tr w14:paraId="2F7E8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567" w:hRule="atLeast"/>
          <w:jc w:val="center"/>
        </w:trPr>
        <w:tc>
          <w:tcPr>
            <w:tcW w:w="985" w:type="dxa"/>
            <w:noWrap w:val="0"/>
            <w:vAlign w:val="center"/>
          </w:tcPr>
          <w:p w14:paraId="13AA825F">
            <w:pPr>
              <w:keepNext w:val="0"/>
              <w:keepLines w:val="0"/>
              <w:pageBreakBefore w:val="0"/>
              <w:widowControl w:val="0"/>
              <w:spacing w:line="440" w:lineRule="atLeast"/>
              <w:ind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序号</w:t>
            </w:r>
          </w:p>
        </w:tc>
        <w:tc>
          <w:tcPr>
            <w:tcW w:w="4710" w:type="dxa"/>
            <w:noWrap w:val="0"/>
            <w:vAlign w:val="center"/>
          </w:tcPr>
          <w:p w14:paraId="78EA8AA5">
            <w:pPr>
              <w:keepNext w:val="0"/>
              <w:keepLines w:val="0"/>
              <w:pageBreakBefore w:val="0"/>
              <w:widowControl w:val="0"/>
              <w:spacing w:line="440" w:lineRule="atLeast"/>
              <w:ind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采购标的</w:t>
            </w:r>
          </w:p>
        </w:tc>
        <w:tc>
          <w:tcPr>
            <w:tcW w:w="4358" w:type="dxa"/>
            <w:noWrap w:val="0"/>
            <w:vAlign w:val="center"/>
          </w:tcPr>
          <w:p w14:paraId="68133A3C">
            <w:pPr>
              <w:keepNext w:val="0"/>
              <w:keepLines w:val="0"/>
              <w:pageBreakBefore w:val="0"/>
              <w:widowControl w:val="0"/>
              <w:spacing w:line="440" w:lineRule="atLeast"/>
              <w:ind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对应中小企业划分标准所属行业</w:t>
            </w:r>
          </w:p>
        </w:tc>
      </w:tr>
      <w:tr w14:paraId="4AEBBE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985" w:type="dxa"/>
            <w:noWrap w:val="0"/>
            <w:vAlign w:val="center"/>
          </w:tcPr>
          <w:p w14:paraId="422C9F7D">
            <w:pPr>
              <w:keepNext w:val="0"/>
              <w:keepLines w:val="0"/>
              <w:pageBreakBefore w:val="0"/>
              <w:widowControl w:val="0"/>
              <w:spacing w:line="440" w:lineRule="atLeast"/>
              <w:ind w:firstLine="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4710" w:type="dxa"/>
            <w:noWrap w:val="0"/>
            <w:vAlign w:val="center"/>
          </w:tcPr>
          <w:p w14:paraId="66932CDC">
            <w:pPr>
              <w:keepNext w:val="0"/>
              <w:keepLines w:val="0"/>
              <w:pageBreakBefore w:val="0"/>
              <w:widowControl w:val="0"/>
              <w:spacing w:line="440" w:lineRule="atLeast"/>
              <w:ind w:firstLine="0"/>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朱林镇2026-2028年度集镇及园区绿化养护市场化运作项目</w:t>
            </w:r>
          </w:p>
        </w:tc>
        <w:tc>
          <w:tcPr>
            <w:tcW w:w="4358" w:type="dxa"/>
            <w:noWrap w:val="0"/>
            <w:vAlign w:val="center"/>
          </w:tcPr>
          <w:p w14:paraId="6AD3033C">
            <w:pPr>
              <w:keepNext w:val="0"/>
              <w:keepLines w:val="0"/>
              <w:pageBreakBefore w:val="0"/>
              <w:widowControl w:val="0"/>
              <w:spacing w:line="440" w:lineRule="atLeast"/>
              <w:ind w:firstLine="0"/>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其他未列明行业</w:t>
            </w:r>
          </w:p>
        </w:tc>
      </w:tr>
    </w:tbl>
    <w:p w14:paraId="7EE826E6">
      <w:pPr>
        <w:pStyle w:val="454"/>
        <w:keepNext w:val="0"/>
        <w:keepLines w:val="0"/>
        <w:pageBreakBefore w:val="0"/>
        <w:widowControl w:val="0"/>
        <w:numPr>
          <w:ilvl w:val="0"/>
          <w:numId w:val="0"/>
        </w:numPr>
        <w:spacing w:line="440" w:lineRule="atLeast"/>
        <w:jc w:val="both"/>
        <w:rPr>
          <w:rFonts w:hint="eastAsia" w:ascii="宋体" w:hAnsi="宋体" w:eastAsia="宋体" w:cs="宋体"/>
          <w:b/>
          <w:bCs w:val="0"/>
          <w:color w:val="000000" w:themeColor="text1"/>
          <w:sz w:val="24"/>
          <w:szCs w:val="24"/>
          <w:highlight w:val="none"/>
          <w:lang w:eastAsia="zh-CN"/>
          <w14:textFill>
            <w14:solidFill>
              <w14:schemeClr w14:val="tx1"/>
            </w14:solidFill>
          </w14:textFill>
        </w:rPr>
      </w:pPr>
    </w:p>
    <w:p w14:paraId="28DD8995">
      <w:pPr>
        <w:pStyle w:val="454"/>
        <w:keepNext w:val="0"/>
        <w:keepLines w:val="0"/>
        <w:pageBreakBefore w:val="0"/>
        <w:widowControl w:val="0"/>
        <w:numPr>
          <w:ilvl w:val="0"/>
          <w:numId w:val="0"/>
        </w:numPr>
        <w:spacing w:line="440" w:lineRule="atLeast"/>
        <w:jc w:val="both"/>
        <w:rPr>
          <w:rFonts w:hint="eastAsia" w:ascii="宋体" w:hAnsi="宋体" w:eastAsia="宋体" w:cs="宋体"/>
          <w:b/>
          <w:bCs w:val="0"/>
          <w:color w:val="000000" w:themeColor="text1"/>
          <w:sz w:val="24"/>
          <w:szCs w:val="24"/>
          <w:highlight w:val="none"/>
          <w:lang w:eastAsia="zh-CN"/>
          <w14:textFill>
            <w14:solidFill>
              <w14:schemeClr w14:val="tx1"/>
            </w14:solidFill>
          </w14:textFill>
        </w:rPr>
        <w:sectPr>
          <w:pgSz w:w="11906" w:h="16838"/>
          <w:pgMar w:top="1417" w:right="1134" w:bottom="1417" w:left="1134" w:header="851" w:footer="992" w:gutter="0"/>
          <w:cols w:space="1701" w:num="1"/>
          <w:docGrid w:linePitch="360" w:charSpace="0"/>
        </w:sectPr>
      </w:pPr>
    </w:p>
    <w:p w14:paraId="7DC3F2B1">
      <w:pPr>
        <w:pStyle w:val="446"/>
        <w:rPr>
          <w:color w:val="000000" w:themeColor="text1"/>
          <w:highlight w:val="none"/>
          <w14:textFill>
            <w14:solidFill>
              <w14:schemeClr w14:val="tx1"/>
            </w14:solidFill>
          </w14:textFill>
        </w:rPr>
      </w:pPr>
    </w:p>
    <w:p w14:paraId="4E026F0E">
      <w:pPr>
        <w:spacing w:line="360" w:lineRule="auto"/>
        <w:jc w:val="center"/>
        <w:outlineLvl w:val="0"/>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第五章   合同草案条款</w:t>
      </w:r>
      <w:bookmarkEnd w:id="671"/>
    </w:p>
    <w:p w14:paraId="6F0FA58D">
      <w:pPr>
        <w:rPr>
          <w:rFonts w:hint="eastAsia" w:ascii="宋体" w:hAnsi="宋体" w:eastAsia="宋体" w:cs="宋体"/>
          <w:b/>
          <w:bCs/>
          <w:sz w:val="21"/>
          <w:szCs w:val="21"/>
          <w:highlight w:val="none"/>
        </w:rPr>
      </w:pPr>
      <w:bookmarkStart w:id="672" w:name="_Hlk75944811"/>
      <w:bookmarkEnd w:id="672"/>
    </w:p>
    <w:p w14:paraId="57FC163C">
      <w:pPr>
        <w:spacing w:line="560" w:lineRule="exact"/>
        <w:jc w:val="left"/>
        <w:rPr>
          <w:rFonts w:hint="eastAsia" w:ascii="方正仿宋_GB2312" w:hAnsi="方正仿宋_GB2312" w:eastAsia="方正仿宋_GB2312" w:cs="方正仿宋_GB2312"/>
          <w:b/>
          <w:bCs/>
          <w:sz w:val="28"/>
          <w:szCs w:val="28"/>
          <w:highlight w:val="none"/>
        </w:rPr>
      </w:pPr>
      <w:bookmarkStart w:id="673" w:name="_Toc104818930"/>
    </w:p>
    <w:p w14:paraId="0D3A297E">
      <w:pPr>
        <w:ind w:firstLine="3360" w:firstLineChars="1200"/>
        <w:jc w:val="left"/>
        <w:rPr>
          <w:rFonts w:hint="default" w:ascii="Times New Roman" w:hAnsi="Times New Roman" w:eastAsia="宋体" w:cs="Times New Roman"/>
          <w:kern w:val="2"/>
          <w:sz w:val="28"/>
          <w:szCs w:val="28"/>
          <w:highlight w:val="none"/>
        </w:rPr>
      </w:pPr>
      <w:r>
        <w:rPr>
          <w:rFonts w:hint="default" w:ascii="Times New Roman" w:hAnsi="Times New Roman" w:eastAsia="宋体" w:cs="Times New Roman"/>
          <w:kern w:val="2"/>
          <w:sz w:val="28"/>
          <w:szCs w:val="28"/>
          <w:highlight w:val="none"/>
        </w:rPr>
        <w:t>合同协议书</w:t>
      </w:r>
    </w:p>
    <w:p w14:paraId="1CAC59D7">
      <w:pPr>
        <w:jc w:val="left"/>
        <w:rPr>
          <w:rFonts w:hint="default" w:ascii="Times New Roman" w:hAnsi="Times New Roman" w:eastAsia="宋体" w:cs="Times New Roman"/>
          <w:kern w:val="2"/>
          <w:sz w:val="28"/>
          <w:szCs w:val="28"/>
          <w:highlight w:val="none"/>
        </w:rPr>
      </w:pPr>
    </w:p>
    <w:p w14:paraId="7B5CFDD8">
      <w:pPr>
        <w:jc w:val="left"/>
        <w:rPr>
          <w:rFonts w:hint="default" w:ascii="Times New Roman" w:hAnsi="Times New Roman" w:eastAsia="宋体" w:cs="Times New Roman"/>
          <w:kern w:val="2"/>
          <w:sz w:val="28"/>
          <w:szCs w:val="28"/>
          <w:highlight w:val="none"/>
        </w:rPr>
      </w:pPr>
    </w:p>
    <w:p w14:paraId="0C223C19">
      <w:pPr>
        <w:jc w:val="left"/>
        <w:rPr>
          <w:rFonts w:hint="default" w:ascii="Times New Roman" w:hAnsi="Times New Roman" w:eastAsia="宋体" w:cs="Times New Roman"/>
          <w:kern w:val="2"/>
          <w:sz w:val="28"/>
          <w:szCs w:val="28"/>
          <w:highlight w:val="none"/>
        </w:rPr>
      </w:pPr>
    </w:p>
    <w:p w14:paraId="70E79751">
      <w:pPr>
        <w:spacing w:line="600" w:lineRule="auto"/>
        <w:ind w:firstLine="840" w:firstLineChars="300"/>
        <w:jc w:val="left"/>
        <w:rPr>
          <w:rFonts w:hint="default" w:ascii="Times New Roman" w:hAnsi="Times New Roman" w:eastAsia="宋体" w:cs="Times New Roman"/>
          <w:kern w:val="2"/>
          <w:sz w:val="28"/>
          <w:szCs w:val="28"/>
          <w:highlight w:val="none"/>
        </w:rPr>
      </w:pPr>
      <w:r>
        <w:rPr>
          <w:rFonts w:hint="default" w:ascii="Times New Roman" w:hAnsi="Times New Roman" w:eastAsia="宋体" w:cs="Times New Roman"/>
          <w:kern w:val="2"/>
          <w:sz w:val="28"/>
          <w:szCs w:val="28"/>
          <w:highlight w:val="none"/>
        </w:rPr>
        <w:t>项目名称：</w:t>
      </w:r>
      <w:r>
        <w:rPr>
          <w:rFonts w:hint="default" w:ascii="Times New Roman" w:hAnsi="Times New Roman" w:eastAsia="宋体" w:cs="Times New Roman"/>
          <w:kern w:val="2"/>
          <w:sz w:val="28"/>
          <w:szCs w:val="28"/>
          <w:highlight w:val="none"/>
          <w:u w:val="single"/>
        </w:rPr>
        <w:t xml:space="preserve">                              </w:t>
      </w:r>
    </w:p>
    <w:p w14:paraId="56E4270D">
      <w:pPr>
        <w:spacing w:line="600" w:lineRule="auto"/>
        <w:ind w:firstLine="840" w:firstLineChars="300"/>
        <w:jc w:val="left"/>
        <w:rPr>
          <w:rFonts w:hint="default" w:ascii="Times New Roman" w:hAnsi="Times New Roman" w:eastAsia="宋体" w:cs="Times New Roman"/>
          <w:kern w:val="2"/>
          <w:sz w:val="28"/>
          <w:szCs w:val="28"/>
          <w:highlight w:val="none"/>
        </w:rPr>
      </w:pPr>
      <w:r>
        <w:rPr>
          <w:rFonts w:hint="default" w:ascii="Times New Roman" w:hAnsi="Times New Roman" w:eastAsia="宋体" w:cs="Times New Roman"/>
          <w:kern w:val="2"/>
          <w:sz w:val="28"/>
          <w:szCs w:val="28"/>
          <w:highlight w:val="none"/>
        </w:rPr>
        <w:t>项目编号：</w:t>
      </w:r>
      <w:r>
        <w:rPr>
          <w:rFonts w:hint="default" w:ascii="Times New Roman" w:hAnsi="Times New Roman" w:eastAsia="宋体" w:cs="Times New Roman"/>
          <w:kern w:val="2"/>
          <w:sz w:val="28"/>
          <w:szCs w:val="28"/>
          <w:highlight w:val="none"/>
          <w:u w:val="single"/>
        </w:rPr>
        <w:t xml:space="preserve">                              </w:t>
      </w:r>
    </w:p>
    <w:p w14:paraId="56F949B8">
      <w:pPr>
        <w:spacing w:line="600" w:lineRule="auto"/>
        <w:ind w:firstLine="840" w:firstLineChars="300"/>
        <w:jc w:val="left"/>
        <w:rPr>
          <w:rFonts w:hint="default" w:ascii="Times New Roman" w:hAnsi="Times New Roman" w:eastAsia="宋体" w:cs="Times New Roman"/>
          <w:kern w:val="2"/>
          <w:sz w:val="28"/>
          <w:szCs w:val="28"/>
          <w:highlight w:val="none"/>
        </w:rPr>
      </w:pPr>
      <w:r>
        <w:rPr>
          <w:rFonts w:hint="default" w:ascii="Times New Roman" w:hAnsi="Times New Roman" w:eastAsia="宋体" w:cs="Times New Roman"/>
          <w:kern w:val="2"/>
          <w:sz w:val="28"/>
          <w:szCs w:val="28"/>
          <w:highlight w:val="none"/>
        </w:rPr>
        <w:t>合同编号：</w:t>
      </w:r>
      <w:r>
        <w:rPr>
          <w:rFonts w:hint="default" w:ascii="Times New Roman" w:hAnsi="Times New Roman" w:eastAsia="宋体" w:cs="Times New Roman"/>
          <w:kern w:val="2"/>
          <w:sz w:val="28"/>
          <w:szCs w:val="28"/>
          <w:highlight w:val="none"/>
          <w:u w:val="single"/>
        </w:rPr>
        <w:t xml:space="preserve">                              </w:t>
      </w:r>
    </w:p>
    <w:p w14:paraId="44201427">
      <w:pPr>
        <w:spacing w:line="600" w:lineRule="auto"/>
        <w:jc w:val="left"/>
        <w:rPr>
          <w:rFonts w:hint="default" w:ascii="Times New Roman" w:hAnsi="Times New Roman" w:eastAsia="宋体" w:cs="Times New Roman"/>
          <w:kern w:val="2"/>
          <w:sz w:val="28"/>
          <w:szCs w:val="28"/>
          <w:highlight w:val="none"/>
        </w:rPr>
      </w:pPr>
    </w:p>
    <w:p w14:paraId="6254C0FC">
      <w:pPr>
        <w:spacing w:line="600" w:lineRule="auto"/>
        <w:jc w:val="left"/>
        <w:rPr>
          <w:rFonts w:hint="default" w:ascii="Times New Roman" w:hAnsi="Times New Roman" w:eastAsia="宋体" w:cs="Times New Roman"/>
          <w:kern w:val="2"/>
          <w:sz w:val="28"/>
          <w:szCs w:val="28"/>
          <w:highlight w:val="none"/>
        </w:rPr>
      </w:pPr>
    </w:p>
    <w:p w14:paraId="522C6254">
      <w:pPr>
        <w:spacing w:line="600" w:lineRule="auto"/>
        <w:jc w:val="left"/>
        <w:rPr>
          <w:rFonts w:hint="default" w:ascii="Times New Roman" w:hAnsi="Times New Roman" w:eastAsia="宋体" w:cs="Times New Roman"/>
          <w:kern w:val="2"/>
          <w:sz w:val="28"/>
          <w:szCs w:val="28"/>
          <w:highlight w:val="none"/>
        </w:rPr>
      </w:pPr>
    </w:p>
    <w:p w14:paraId="3B5C63C4">
      <w:pPr>
        <w:spacing w:line="600" w:lineRule="auto"/>
        <w:ind w:firstLine="840" w:firstLineChars="300"/>
        <w:jc w:val="left"/>
        <w:rPr>
          <w:rFonts w:hint="default" w:ascii="Times New Roman" w:hAnsi="Times New Roman" w:eastAsia="宋体" w:cs="Times New Roman"/>
          <w:kern w:val="2"/>
          <w:sz w:val="28"/>
          <w:szCs w:val="28"/>
          <w:highlight w:val="none"/>
        </w:rPr>
      </w:pPr>
      <w:r>
        <w:rPr>
          <w:rFonts w:hint="default" w:ascii="Times New Roman" w:hAnsi="Times New Roman" w:eastAsia="宋体" w:cs="Times New Roman"/>
          <w:kern w:val="2"/>
          <w:sz w:val="28"/>
          <w:szCs w:val="28"/>
          <w:highlight w:val="none"/>
        </w:rPr>
        <w:t>采购人（甲方）：</w:t>
      </w:r>
      <w:r>
        <w:rPr>
          <w:rFonts w:hint="default" w:ascii="Times New Roman" w:hAnsi="Times New Roman" w:eastAsia="宋体" w:cs="Times New Roman"/>
          <w:kern w:val="2"/>
          <w:sz w:val="28"/>
          <w:szCs w:val="28"/>
          <w:highlight w:val="none"/>
          <w:u w:val="single"/>
        </w:rPr>
        <w:t xml:space="preserve">                        </w:t>
      </w:r>
    </w:p>
    <w:p w14:paraId="4A83412F">
      <w:pPr>
        <w:spacing w:line="600" w:lineRule="auto"/>
        <w:ind w:firstLine="840" w:firstLineChars="300"/>
        <w:jc w:val="left"/>
        <w:rPr>
          <w:rFonts w:hint="default" w:ascii="Times New Roman" w:hAnsi="Times New Roman" w:eastAsia="宋体" w:cs="Times New Roman"/>
          <w:kern w:val="2"/>
          <w:sz w:val="28"/>
          <w:szCs w:val="28"/>
          <w:highlight w:val="none"/>
        </w:rPr>
      </w:pPr>
      <w:r>
        <w:rPr>
          <w:rFonts w:hint="default" w:ascii="Times New Roman" w:hAnsi="Times New Roman" w:eastAsia="宋体" w:cs="Times New Roman"/>
          <w:kern w:val="2"/>
          <w:sz w:val="28"/>
          <w:szCs w:val="28"/>
          <w:highlight w:val="none"/>
        </w:rPr>
        <w:t>中标供应商（乙方）：</w:t>
      </w:r>
      <w:r>
        <w:rPr>
          <w:rFonts w:hint="default" w:ascii="Times New Roman" w:hAnsi="Times New Roman" w:eastAsia="宋体" w:cs="Times New Roman"/>
          <w:kern w:val="2"/>
          <w:sz w:val="28"/>
          <w:szCs w:val="28"/>
          <w:highlight w:val="none"/>
          <w:u w:val="single"/>
        </w:rPr>
        <w:t xml:space="preserve">                    </w:t>
      </w:r>
    </w:p>
    <w:p w14:paraId="5CA55D09">
      <w:pPr>
        <w:spacing w:line="360" w:lineRule="auto"/>
        <w:jc w:val="center"/>
        <w:outlineLvl w:val="0"/>
        <w:rPr>
          <w:rFonts w:hint="default" w:ascii="Times New Roman" w:hAnsi="Times New Roman" w:eastAsia="宋体" w:cs="Times New Roman"/>
          <w:b/>
          <w:kern w:val="2"/>
          <w:sz w:val="36"/>
          <w:szCs w:val="36"/>
          <w:highlight w:val="none"/>
        </w:rPr>
      </w:pPr>
    </w:p>
    <w:p w14:paraId="72A40264">
      <w:pPr>
        <w:keepNext/>
        <w:keepLines/>
        <w:widowControl w:val="0"/>
        <w:autoSpaceDE w:val="0"/>
        <w:autoSpaceDN w:val="0"/>
        <w:adjustRightInd w:val="0"/>
        <w:spacing w:before="360" w:after="120"/>
        <w:jc w:val="left"/>
        <w:outlineLvl w:val="2"/>
        <w:rPr>
          <w:rFonts w:ascii="宋体" w:hAnsi="Times New Roman" w:eastAsia="宋体" w:cs="Times New Roman"/>
          <w:b w:val="0"/>
          <w:kern w:val="0"/>
          <w:sz w:val="36"/>
          <w:szCs w:val="36"/>
          <w:highlight w:val="none"/>
          <w:u w:val="single"/>
          <w:lang w:val="en-US" w:eastAsia="zh-CN" w:bidi="ar-SA"/>
        </w:rPr>
      </w:pPr>
    </w:p>
    <w:p w14:paraId="0D491A5E">
      <w:pPr>
        <w:rPr>
          <w:rFonts w:hint="default" w:ascii="Times New Roman" w:hAnsi="Times New Roman" w:eastAsia="宋体" w:cs="Times New Roman"/>
          <w:b/>
          <w:kern w:val="2"/>
          <w:sz w:val="36"/>
          <w:szCs w:val="36"/>
          <w:highlight w:val="none"/>
        </w:rPr>
      </w:pPr>
    </w:p>
    <w:p w14:paraId="604F0075">
      <w:pPr>
        <w:keepNext/>
        <w:keepLines/>
        <w:widowControl w:val="0"/>
        <w:autoSpaceDE w:val="0"/>
        <w:autoSpaceDN w:val="0"/>
        <w:adjustRightInd w:val="0"/>
        <w:spacing w:before="360" w:after="120"/>
        <w:jc w:val="left"/>
        <w:outlineLvl w:val="2"/>
        <w:rPr>
          <w:rFonts w:ascii="宋体" w:hAnsi="Times New Roman" w:eastAsia="宋体" w:cs="Times New Roman"/>
          <w:b w:val="0"/>
          <w:kern w:val="0"/>
          <w:sz w:val="36"/>
          <w:szCs w:val="36"/>
          <w:highlight w:val="none"/>
          <w:u w:val="single"/>
          <w:lang w:val="en-US" w:eastAsia="zh-CN" w:bidi="ar-SA"/>
        </w:rPr>
      </w:pPr>
    </w:p>
    <w:p w14:paraId="40717085">
      <w:pPr>
        <w:rPr>
          <w:rFonts w:hint="default" w:ascii="Times New Roman" w:hAnsi="Times New Roman" w:eastAsia="宋体" w:cs="Times New Roman"/>
          <w:b/>
          <w:kern w:val="2"/>
          <w:sz w:val="36"/>
          <w:szCs w:val="36"/>
          <w:highlight w:val="none"/>
        </w:rPr>
      </w:pPr>
    </w:p>
    <w:p w14:paraId="5E16277A">
      <w:pPr>
        <w:rPr>
          <w:rFonts w:hint="default" w:ascii="Times New Roman" w:hAnsi="Times New Roman" w:eastAsia="宋体" w:cs="Times New Roman"/>
          <w:b/>
          <w:kern w:val="2"/>
          <w:sz w:val="36"/>
          <w:szCs w:val="36"/>
          <w:highlight w:val="none"/>
        </w:rPr>
      </w:pPr>
    </w:p>
    <w:p w14:paraId="1162346D">
      <w:pPr>
        <w:spacing w:line="500" w:lineRule="exact"/>
        <w:jc w:val="center"/>
        <w:rPr>
          <w:rFonts w:hint="eastAsia" w:ascii="宋体" w:hAnsi="宋体" w:eastAsia="宋体" w:cs="宋体"/>
          <w:kern w:val="2"/>
          <w:sz w:val="24"/>
          <w:highlight w:val="none"/>
        </w:rPr>
      </w:pPr>
    </w:p>
    <w:p w14:paraId="79D4CDA1">
      <w:pPr>
        <w:spacing w:line="500" w:lineRule="exact"/>
        <w:jc w:val="center"/>
        <w:rPr>
          <w:rFonts w:hint="eastAsia" w:ascii="宋体" w:hAnsi="宋体" w:eastAsia="宋体" w:cs="宋体"/>
          <w:kern w:val="2"/>
          <w:sz w:val="24"/>
          <w:highlight w:val="none"/>
        </w:rPr>
      </w:pPr>
    </w:p>
    <w:p w14:paraId="79882848">
      <w:pPr>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服务合同主要条款</w:t>
      </w:r>
    </w:p>
    <w:p w14:paraId="16DEF993">
      <w:pPr>
        <w:spacing w:line="360" w:lineRule="auto"/>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A  协议书</w:t>
      </w:r>
    </w:p>
    <w:p w14:paraId="0151B69C">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甲方：</w:t>
      </w:r>
      <w:r>
        <w:rPr>
          <w:rFonts w:hint="eastAsia" w:ascii="宋体" w:hAnsi="宋体" w:eastAsia="宋体" w:cs="宋体"/>
          <w:kern w:val="2"/>
          <w:sz w:val="21"/>
          <w:szCs w:val="21"/>
          <w:highlight w:val="none"/>
          <w:u w:val="single"/>
        </w:rPr>
        <w:t xml:space="preserve">                                                            </w:t>
      </w:r>
      <w:r>
        <w:rPr>
          <w:rFonts w:hint="eastAsia" w:ascii="宋体" w:hAnsi="宋体" w:eastAsia="宋体" w:cs="宋体"/>
          <w:kern w:val="2"/>
          <w:sz w:val="21"/>
          <w:szCs w:val="21"/>
          <w:highlight w:val="none"/>
        </w:rPr>
        <w:t xml:space="preserve">                                                                                                                                                                                              </w:t>
      </w:r>
    </w:p>
    <w:p w14:paraId="75A6ED18">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乙方：</w:t>
      </w:r>
      <w:r>
        <w:rPr>
          <w:rFonts w:hint="eastAsia" w:ascii="宋体" w:hAnsi="宋体" w:eastAsia="宋体" w:cs="宋体"/>
          <w:kern w:val="2"/>
          <w:sz w:val="21"/>
          <w:szCs w:val="21"/>
          <w:highlight w:val="none"/>
          <w:u w:val="single"/>
        </w:rPr>
        <w:t xml:space="preserve">                                                            </w:t>
      </w:r>
      <w:r>
        <w:rPr>
          <w:rFonts w:hint="eastAsia" w:ascii="宋体" w:hAnsi="宋体" w:eastAsia="宋体" w:cs="宋体"/>
          <w:kern w:val="2"/>
          <w:sz w:val="21"/>
          <w:szCs w:val="21"/>
          <w:highlight w:val="none"/>
        </w:rPr>
        <w:t xml:space="preserve">                                                                                                           </w:t>
      </w:r>
    </w:p>
    <w:p w14:paraId="621F2126">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根据《中华人民共和国政府采购法》、《中华人民共和国</w:t>
      </w:r>
      <w:r>
        <w:rPr>
          <w:rFonts w:hint="eastAsia" w:ascii="宋体" w:hAnsi="宋体" w:eastAsia="宋体" w:cs="宋体"/>
          <w:kern w:val="2"/>
          <w:sz w:val="21"/>
          <w:szCs w:val="21"/>
          <w:highlight w:val="none"/>
          <w:lang w:val="en-US" w:eastAsia="zh-CN"/>
        </w:rPr>
        <w:t>民法典</w:t>
      </w:r>
      <w:r>
        <w:rPr>
          <w:rFonts w:hint="eastAsia" w:ascii="宋体" w:hAnsi="宋体" w:eastAsia="宋体" w:cs="宋体"/>
          <w:kern w:val="2"/>
          <w:sz w:val="21"/>
          <w:szCs w:val="21"/>
          <w:highlight w:val="none"/>
        </w:rPr>
        <w:t>》和相关法律、法规、政策和公开招标结果（项目编号：</w:t>
      </w:r>
      <w:r>
        <w:rPr>
          <w:rFonts w:hint="eastAsia" w:ascii="宋体" w:hAnsi="宋体" w:eastAsia="宋体" w:cs="宋体"/>
          <w:kern w:val="2"/>
          <w:sz w:val="21"/>
          <w:szCs w:val="21"/>
          <w:highlight w:val="none"/>
          <w:u w:val="single"/>
        </w:rPr>
        <w:t xml:space="preserve">              </w:t>
      </w:r>
      <w:r>
        <w:rPr>
          <w:rFonts w:hint="eastAsia" w:ascii="宋体" w:hAnsi="宋体" w:eastAsia="宋体" w:cs="宋体"/>
          <w:kern w:val="2"/>
          <w:sz w:val="21"/>
          <w:szCs w:val="21"/>
          <w:highlight w:val="none"/>
        </w:rPr>
        <w:t xml:space="preserve">），甲乙双方在自愿、平等、协商一致的基础上，就招标方选聘乙方对 </w:t>
      </w:r>
      <w:r>
        <w:rPr>
          <w:rFonts w:hint="eastAsia" w:ascii="宋体" w:hAnsi="宋体" w:eastAsia="宋体" w:cs="宋体"/>
          <w:kern w:val="2"/>
          <w:sz w:val="21"/>
          <w:szCs w:val="21"/>
          <w:highlight w:val="none"/>
          <w:u w:val="single"/>
        </w:rPr>
        <w:t xml:space="preserve">          </w:t>
      </w:r>
      <w:r>
        <w:rPr>
          <w:rFonts w:hint="eastAsia" w:ascii="宋体" w:hAnsi="宋体" w:eastAsia="宋体" w:cs="宋体"/>
          <w:kern w:val="2"/>
          <w:sz w:val="21"/>
          <w:szCs w:val="21"/>
          <w:highlight w:val="none"/>
        </w:rPr>
        <w:t>提供服务事宜，订立本合同。　　</w:t>
      </w:r>
    </w:p>
    <w:p w14:paraId="76C070CD">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合同文件</w:t>
      </w:r>
    </w:p>
    <w:p w14:paraId="3B22B65E">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 xml:space="preserve"> 下列文件是构成本合同不可分割的部分：</w:t>
      </w:r>
    </w:p>
    <w:p w14:paraId="30857587">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 响应人提交的投标函和报价表；</w:t>
      </w:r>
    </w:p>
    <w:p w14:paraId="097F11BC">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 澄清函及有关文件；</w:t>
      </w:r>
    </w:p>
    <w:p w14:paraId="65AF4ED7">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（3） 中标通知书；</w:t>
      </w:r>
    </w:p>
    <w:p w14:paraId="3942AE61">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（4） 磋商文件；</w:t>
      </w:r>
    </w:p>
    <w:p w14:paraId="7E51324D">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（5） 响应文件。</w:t>
      </w:r>
    </w:p>
    <w:p w14:paraId="7D603CA8">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一、项目概况</w:t>
      </w:r>
    </w:p>
    <w:p w14:paraId="501F6656">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 xml:space="preserve">1、绿化管护标段名称：  </w:t>
      </w:r>
    </w:p>
    <w:p w14:paraId="41B5E5C2">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2、管护期限自</w:t>
      </w:r>
      <w:r>
        <w:rPr>
          <w:rFonts w:hint="eastAsia" w:ascii="宋体" w:hAnsi="宋体" w:eastAsia="宋体" w:cs="宋体"/>
          <w:kern w:val="2"/>
          <w:sz w:val="21"/>
          <w:szCs w:val="21"/>
          <w:highlight w:val="none"/>
          <w:u w:val="single"/>
        </w:rPr>
        <w:t xml:space="preserve">             </w:t>
      </w:r>
      <w:r>
        <w:rPr>
          <w:rFonts w:hint="eastAsia" w:ascii="宋体" w:hAnsi="宋体" w:eastAsia="宋体" w:cs="宋体"/>
          <w:kern w:val="2"/>
          <w:sz w:val="21"/>
          <w:szCs w:val="21"/>
          <w:highlight w:val="none"/>
        </w:rPr>
        <w:t>止，具体养护开始时间以实际开始养护之日起计算。</w:t>
      </w:r>
    </w:p>
    <w:p w14:paraId="014A00EC">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3、本项目负责人为：姓名：</w:t>
      </w:r>
      <w:r>
        <w:rPr>
          <w:rFonts w:hint="eastAsia" w:ascii="宋体" w:hAnsi="宋体" w:eastAsia="宋体" w:cs="宋体"/>
          <w:kern w:val="2"/>
          <w:sz w:val="21"/>
          <w:szCs w:val="21"/>
          <w:highlight w:val="none"/>
          <w:u w:val="single"/>
        </w:rPr>
        <w:t xml:space="preserve">         </w:t>
      </w:r>
      <w:r>
        <w:rPr>
          <w:rFonts w:hint="eastAsia" w:ascii="宋体" w:hAnsi="宋体" w:eastAsia="宋体" w:cs="宋体"/>
          <w:kern w:val="2"/>
          <w:sz w:val="21"/>
          <w:szCs w:val="21"/>
          <w:highlight w:val="none"/>
        </w:rPr>
        <w:t>（身份证号码：</w:t>
      </w:r>
      <w:r>
        <w:rPr>
          <w:rFonts w:hint="eastAsia" w:ascii="宋体" w:hAnsi="宋体" w:eastAsia="宋体" w:cs="宋体"/>
          <w:kern w:val="2"/>
          <w:sz w:val="21"/>
          <w:szCs w:val="21"/>
          <w:highlight w:val="none"/>
          <w:u w:val="single"/>
        </w:rPr>
        <w:t xml:space="preserve">                 </w:t>
      </w:r>
      <w:r>
        <w:rPr>
          <w:rFonts w:hint="eastAsia" w:ascii="宋体" w:hAnsi="宋体" w:eastAsia="宋体" w:cs="宋体"/>
          <w:kern w:val="2"/>
          <w:sz w:val="21"/>
          <w:szCs w:val="21"/>
          <w:highlight w:val="none"/>
        </w:rPr>
        <w:t>）。</w:t>
      </w:r>
    </w:p>
    <w:p w14:paraId="5754F9D1">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4、养护面积：约11.</w:t>
      </w:r>
      <w:r>
        <w:rPr>
          <w:rFonts w:hint="eastAsia" w:ascii="宋体" w:hAnsi="宋体" w:eastAsia="宋体" w:cs="宋体"/>
          <w:kern w:val="2"/>
          <w:sz w:val="21"/>
          <w:szCs w:val="21"/>
          <w:highlight w:val="none"/>
          <w:lang w:val="en-US" w:eastAsia="zh-CN"/>
        </w:rPr>
        <w:t>5</w:t>
      </w:r>
      <w:r>
        <w:rPr>
          <w:rFonts w:hint="eastAsia" w:ascii="宋体" w:hAnsi="宋体" w:eastAsia="宋体" w:cs="宋体"/>
          <w:kern w:val="2"/>
          <w:sz w:val="21"/>
          <w:szCs w:val="21"/>
          <w:highlight w:val="none"/>
        </w:rPr>
        <w:t>万平方米（路段详见附表）</w:t>
      </w:r>
    </w:p>
    <w:p w14:paraId="5CD724B3">
      <w:pPr>
        <w:spacing w:line="360" w:lineRule="auto"/>
        <w:ind w:firstLine="420" w:firstLineChars="200"/>
        <w:jc w:val="left"/>
        <w:rPr>
          <w:rFonts w:hint="eastAsia" w:ascii="宋体" w:hAnsi="宋体" w:eastAsia="宋体" w:cs="宋体"/>
          <w:b w:val="0"/>
          <w:bCs/>
          <w:color w:val="FF0000"/>
          <w:kern w:val="2"/>
          <w:sz w:val="21"/>
          <w:szCs w:val="21"/>
          <w:highlight w:val="none"/>
        </w:rPr>
      </w:pPr>
      <w:r>
        <w:rPr>
          <w:rFonts w:hint="eastAsia" w:ascii="宋体" w:hAnsi="宋体" w:eastAsia="宋体" w:cs="宋体"/>
          <w:kern w:val="2"/>
          <w:sz w:val="21"/>
          <w:szCs w:val="21"/>
          <w:highlight w:val="none"/>
          <w:lang w:val="en-US" w:eastAsia="zh-CN"/>
        </w:rPr>
        <w:t>5、拟投入管养人员：合计</w:t>
      </w:r>
      <w:r>
        <w:rPr>
          <w:rFonts w:hint="eastAsia" w:ascii="宋体" w:hAnsi="宋体" w:eastAsia="宋体" w:cs="宋体"/>
          <w:kern w:val="2"/>
          <w:sz w:val="21"/>
          <w:szCs w:val="21"/>
          <w:highlight w:val="none"/>
          <w:u w:val="single"/>
        </w:rPr>
        <w:t xml:space="preserve">       </w:t>
      </w:r>
      <w:r>
        <w:rPr>
          <w:rFonts w:hint="eastAsia" w:ascii="宋体" w:hAnsi="宋体" w:eastAsia="宋体" w:cs="宋体"/>
          <w:kern w:val="2"/>
          <w:sz w:val="21"/>
          <w:szCs w:val="21"/>
          <w:highlight w:val="none"/>
          <w:lang w:val="en-US" w:eastAsia="zh-CN"/>
        </w:rPr>
        <w:t>人</w:t>
      </w:r>
      <w:r>
        <w:rPr>
          <w:rFonts w:hint="eastAsia" w:ascii="宋体" w:hAnsi="宋体" w:eastAsia="宋体" w:cs="宋体"/>
          <w:b w:val="0"/>
          <w:bCs/>
          <w:color w:val="FF0000"/>
          <w:kern w:val="2"/>
          <w:sz w:val="21"/>
          <w:szCs w:val="21"/>
          <w:highlight w:val="none"/>
        </w:rPr>
        <w:t>（不包括车辆驾驶员）</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8"/>
        <w:gridCol w:w="1711"/>
        <w:gridCol w:w="5603"/>
        <w:gridCol w:w="846"/>
      </w:tblGrid>
      <w:tr w14:paraId="3195D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noWrap w:val="0"/>
            <w:vAlign w:val="center"/>
          </w:tcPr>
          <w:p w14:paraId="5F327935">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r>
              <w:rPr>
                <w:rFonts w:hint="eastAsia" w:ascii="宋体" w:hAnsi="宋体" w:eastAsia="宋体" w:cs="宋体"/>
                <w:b w:val="0"/>
                <w:bCs/>
                <w:color w:val="auto"/>
                <w:kern w:val="2"/>
                <w:sz w:val="21"/>
                <w:szCs w:val="21"/>
                <w:highlight w:val="none"/>
                <w:vertAlign w:val="baseline"/>
                <w:lang w:val="en-US" w:eastAsia="zh-CN" w:bidi="ar-SA"/>
              </w:rPr>
              <w:t>岗位</w:t>
            </w:r>
          </w:p>
        </w:tc>
        <w:tc>
          <w:tcPr>
            <w:tcW w:w="1713" w:type="dxa"/>
            <w:noWrap w:val="0"/>
            <w:vAlign w:val="center"/>
          </w:tcPr>
          <w:p w14:paraId="49906F0A">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r>
              <w:rPr>
                <w:rFonts w:hint="eastAsia" w:ascii="宋体" w:hAnsi="宋体" w:eastAsia="宋体" w:cs="宋体"/>
                <w:b w:val="0"/>
                <w:bCs/>
                <w:color w:val="auto"/>
                <w:kern w:val="2"/>
                <w:sz w:val="21"/>
                <w:szCs w:val="21"/>
                <w:highlight w:val="none"/>
                <w:vertAlign w:val="baseline"/>
                <w:lang w:val="en-US" w:eastAsia="zh-CN" w:bidi="ar-SA"/>
              </w:rPr>
              <w:t>作业人数</w:t>
            </w:r>
          </w:p>
        </w:tc>
        <w:tc>
          <w:tcPr>
            <w:tcW w:w="5617" w:type="dxa"/>
            <w:noWrap w:val="0"/>
            <w:vAlign w:val="center"/>
          </w:tcPr>
          <w:p w14:paraId="45714884">
            <w:pPr>
              <w:widowControl w:val="0"/>
              <w:numPr>
                <w:ilvl w:val="0"/>
                <w:numId w:val="0"/>
              </w:numPr>
              <w:spacing w:after="0" w:line="360" w:lineRule="auto"/>
              <w:ind w:firstLine="420" w:firstLineChars="200"/>
              <w:contextualSpacing/>
              <w:jc w:val="center"/>
              <w:rPr>
                <w:rFonts w:hint="default" w:ascii="宋体" w:hAnsi="宋体" w:eastAsia="宋体" w:cs="宋体"/>
                <w:b w:val="0"/>
                <w:bCs/>
                <w:color w:val="auto"/>
                <w:kern w:val="2"/>
                <w:sz w:val="21"/>
                <w:szCs w:val="21"/>
                <w:highlight w:val="none"/>
                <w:vertAlign w:val="baseline"/>
                <w:lang w:val="en-US" w:eastAsia="zh-CN" w:bidi="ar-SA"/>
              </w:rPr>
            </w:pPr>
            <w:r>
              <w:rPr>
                <w:rFonts w:hint="eastAsia" w:ascii="宋体" w:hAnsi="宋体" w:eastAsia="宋体" w:cs="宋体"/>
                <w:b w:val="0"/>
                <w:bCs/>
                <w:color w:val="auto"/>
                <w:kern w:val="2"/>
                <w:sz w:val="21"/>
                <w:szCs w:val="21"/>
                <w:highlight w:val="none"/>
                <w:vertAlign w:val="baseline"/>
                <w:lang w:val="en-US" w:eastAsia="zh-CN" w:bidi="ar-SA"/>
              </w:rPr>
              <w:t>岗位人员要求</w:t>
            </w:r>
          </w:p>
        </w:tc>
        <w:tc>
          <w:tcPr>
            <w:tcW w:w="829" w:type="dxa"/>
            <w:noWrap w:val="0"/>
            <w:vAlign w:val="center"/>
          </w:tcPr>
          <w:p w14:paraId="26CC7FBA">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r>
              <w:rPr>
                <w:rFonts w:hint="eastAsia" w:ascii="宋体" w:hAnsi="宋体" w:eastAsia="宋体" w:cs="宋体"/>
                <w:b w:val="0"/>
                <w:bCs/>
                <w:color w:val="auto"/>
                <w:kern w:val="2"/>
                <w:sz w:val="21"/>
                <w:szCs w:val="21"/>
                <w:highlight w:val="none"/>
                <w:vertAlign w:val="baseline"/>
                <w:lang w:val="en-US" w:eastAsia="zh-CN" w:bidi="ar-SA"/>
              </w:rPr>
              <w:t>备注</w:t>
            </w:r>
          </w:p>
        </w:tc>
      </w:tr>
      <w:tr w14:paraId="4C107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1129" w:type="dxa"/>
            <w:noWrap w:val="0"/>
            <w:vAlign w:val="center"/>
          </w:tcPr>
          <w:p w14:paraId="45978B71">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r>
              <w:rPr>
                <w:rFonts w:hint="eastAsia" w:ascii="宋体" w:hAnsi="宋体" w:eastAsia="宋体" w:cs="宋体"/>
                <w:b w:val="0"/>
                <w:bCs/>
                <w:color w:val="auto"/>
                <w:kern w:val="2"/>
                <w:sz w:val="21"/>
                <w:szCs w:val="21"/>
                <w:highlight w:val="none"/>
                <w:vertAlign w:val="baseline"/>
                <w:lang w:val="en-US" w:eastAsia="zh-CN" w:bidi="ar-SA"/>
              </w:rPr>
              <w:t>项目经理</w:t>
            </w:r>
          </w:p>
        </w:tc>
        <w:tc>
          <w:tcPr>
            <w:tcW w:w="1713" w:type="dxa"/>
            <w:noWrap w:val="0"/>
            <w:vAlign w:val="center"/>
          </w:tcPr>
          <w:p w14:paraId="6B123E3D">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p>
        </w:tc>
        <w:tc>
          <w:tcPr>
            <w:tcW w:w="5617" w:type="dxa"/>
            <w:noWrap w:val="0"/>
            <w:vAlign w:val="center"/>
          </w:tcPr>
          <w:p w14:paraId="67B9EE53">
            <w:pPr>
              <w:widowControl w:val="0"/>
              <w:numPr>
                <w:ilvl w:val="0"/>
                <w:numId w:val="0"/>
              </w:numPr>
              <w:spacing w:after="0" w:line="360" w:lineRule="auto"/>
              <w:ind w:firstLine="420" w:firstLineChars="200"/>
              <w:contextualSpacing/>
              <w:jc w:val="left"/>
              <w:rPr>
                <w:rFonts w:hint="eastAsia" w:ascii="宋体" w:hAnsi="宋体" w:eastAsia="宋体" w:cs="宋体"/>
                <w:b w:val="0"/>
                <w:bCs/>
                <w:color w:val="auto"/>
                <w:kern w:val="2"/>
                <w:sz w:val="21"/>
                <w:szCs w:val="21"/>
                <w:highlight w:val="none"/>
                <w:vertAlign w:val="baseline"/>
                <w:lang w:val="en-US" w:eastAsia="zh-CN" w:bidi="ar-SA"/>
              </w:rPr>
            </w:pPr>
            <w:r>
              <w:rPr>
                <w:rFonts w:hint="eastAsia" w:ascii="宋体" w:hAnsi="宋体" w:eastAsia="宋体" w:cs="宋体"/>
                <w:b w:val="0"/>
                <w:bCs/>
                <w:color w:val="auto"/>
                <w:kern w:val="2"/>
                <w:sz w:val="21"/>
                <w:szCs w:val="21"/>
                <w:highlight w:val="none"/>
                <w:vertAlign w:val="baseline"/>
                <w:lang w:val="en-US" w:eastAsia="zh-CN" w:bidi="ar-SA"/>
              </w:rPr>
              <w:t>60周岁以下。身体健康，具有绿化养护经验。</w:t>
            </w:r>
          </w:p>
        </w:tc>
        <w:tc>
          <w:tcPr>
            <w:tcW w:w="829" w:type="dxa"/>
            <w:noWrap w:val="0"/>
            <w:vAlign w:val="center"/>
          </w:tcPr>
          <w:p w14:paraId="43A64A1C">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p>
        </w:tc>
      </w:tr>
      <w:tr w14:paraId="21B35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noWrap w:val="0"/>
            <w:vAlign w:val="center"/>
          </w:tcPr>
          <w:p w14:paraId="0FCBBA81">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r>
              <w:rPr>
                <w:rFonts w:hint="eastAsia" w:ascii="宋体" w:hAnsi="宋体" w:eastAsia="宋体" w:cs="宋体"/>
                <w:b w:val="0"/>
                <w:bCs/>
                <w:color w:val="auto"/>
                <w:kern w:val="2"/>
                <w:sz w:val="21"/>
                <w:szCs w:val="21"/>
                <w:highlight w:val="none"/>
                <w:vertAlign w:val="baseline"/>
                <w:lang w:val="en-US" w:eastAsia="zh-CN" w:bidi="ar-SA"/>
              </w:rPr>
              <w:t>养护作业人员</w:t>
            </w:r>
          </w:p>
        </w:tc>
        <w:tc>
          <w:tcPr>
            <w:tcW w:w="1713" w:type="dxa"/>
            <w:noWrap w:val="0"/>
            <w:vAlign w:val="center"/>
          </w:tcPr>
          <w:p w14:paraId="55754699">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r>
              <w:rPr>
                <w:rFonts w:hint="eastAsia" w:ascii="宋体" w:hAnsi="宋体" w:eastAsia="宋体" w:cs="宋体"/>
                <w:b w:val="0"/>
                <w:bCs/>
                <w:color w:val="auto"/>
                <w:kern w:val="2"/>
                <w:sz w:val="21"/>
                <w:szCs w:val="21"/>
                <w:highlight w:val="none"/>
                <w:vertAlign w:val="baseline"/>
                <w:lang w:val="en-US" w:eastAsia="zh-CN" w:bidi="ar-SA"/>
              </w:rPr>
              <w:t xml:space="preserve"> </w:t>
            </w:r>
          </w:p>
        </w:tc>
        <w:tc>
          <w:tcPr>
            <w:tcW w:w="5617" w:type="dxa"/>
            <w:noWrap w:val="0"/>
            <w:vAlign w:val="center"/>
          </w:tcPr>
          <w:p w14:paraId="5287F47A">
            <w:pPr>
              <w:widowControl w:val="0"/>
              <w:numPr>
                <w:ilvl w:val="0"/>
                <w:numId w:val="0"/>
              </w:numPr>
              <w:spacing w:after="0" w:line="360" w:lineRule="auto"/>
              <w:ind w:firstLine="420" w:firstLineChars="200"/>
              <w:contextualSpacing/>
              <w:jc w:val="left"/>
              <w:rPr>
                <w:rFonts w:hint="eastAsia" w:ascii="宋体" w:hAnsi="宋体" w:eastAsia="宋体" w:cs="宋体"/>
                <w:b w:val="0"/>
                <w:bCs/>
                <w:color w:val="auto"/>
                <w:kern w:val="2"/>
                <w:sz w:val="21"/>
                <w:szCs w:val="21"/>
                <w:highlight w:val="none"/>
                <w:vertAlign w:val="baseline"/>
                <w:lang w:val="en-US" w:eastAsia="zh-CN" w:bidi="ar-SA"/>
              </w:rPr>
            </w:pPr>
            <w:r>
              <w:rPr>
                <w:rFonts w:hint="eastAsia" w:ascii="宋体" w:hAnsi="宋体" w:eastAsia="宋体" w:cs="宋体"/>
                <w:b w:val="0"/>
                <w:bCs/>
                <w:color w:val="auto"/>
                <w:kern w:val="2"/>
                <w:sz w:val="21"/>
                <w:szCs w:val="21"/>
                <w:highlight w:val="none"/>
                <w:vertAlign w:val="baseline"/>
                <w:lang w:val="en-US" w:eastAsia="zh-CN" w:bidi="ar-SA"/>
              </w:rPr>
              <w:t>女性 50周岁以下，男性 60周岁以下。所有人员身体健康，具有一定的绿化养护经验，工作效率高。</w:t>
            </w:r>
          </w:p>
        </w:tc>
        <w:tc>
          <w:tcPr>
            <w:tcW w:w="829" w:type="dxa"/>
            <w:noWrap w:val="0"/>
            <w:vAlign w:val="center"/>
          </w:tcPr>
          <w:p w14:paraId="0482BD18">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p>
        </w:tc>
      </w:tr>
    </w:tbl>
    <w:p w14:paraId="438A984C">
      <w:pPr>
        <w:widowControl w:val="0"/>
        <w:numPr>
          <w:ilvl w:val="0"/>
          <w:numId w:val="0"/>
        </w:numPr>
        <w:spacing w:line="360" w:lineRule="auto"/>
        <w:ind w:firstLine="420" w:firstLineChars="200"/>
        <w:contextualSpacing/>
        <w:jc w:val="both"/>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本项目养护合同签订后，供应商按照响应文件中承诺的人员数量及其他内容，向采购人上报管养人员名单，并按照国家相关法律法规缴纳了社保及必要的意外保险等。采购人在合同执行期间按照乙方上报的管养人员名单明细进行定期或不定期考勤，若不满足以上条件，采购人有权解除合同。</w:t>
      </w:r>
    </w:p>
    <w:p w14:paraId="61969398">
      <w:pPr>
        <w:widowControl w:val="0"/>
        <w:numPr>
          <w:ilvl w:val="0"/>
          <w:numId w:val="0"/>
        </w:numPr>
        <w:spacing w:line="360" w:lineRule="auto"/>
        <w:ind w:leftChars="0" w:firstLine="420" w:firstLineChars="200"/>
        <w:contextualSpacing/>
        <w:jc w:val="both"/>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6、拟配备养护车辆、设备：</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92"/>
        <w:gridCol w:w="1725"/>
        <w:gridCol w:w="4041"/>
      </w:tblGrid>
      <w:tr w14:paraId="16A65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3492" w:type="dxa"/>
            <w:noWrap w:val="0"/>
            <w:vAlign w:val="top"/>
          </w:tcPr>
          <w:p w14:paraId="1A1D3236">
            <w:pPr>
              <w:widowControl w:val="0"/>
              <w:numPr>
                <w:ilvl w:val="0"/>
                <w:numId w:val="0"/>
              </w:numPr>
              <w:spacing w:after="0" w:line="360" w:lineRule="auto"/>
              <w:ind w:firstLine="420" w:firstLineChars="200"/>
              <w:contextualSpacing/>
              <w:jc w:val="center"/>
              <w:rPr>
                <w:rFonts w:hint="default" w:ascii="宋体" w:hAnsi="宋体" w:eastAsia="宋体" w:cs="宋体"/>
                <w:b w:val="0"/>
                <w:bCs/>
                <w:color w:val="auto"/>
                <w:kern w:val="2"/>
                <w:sz w:val="21"/>
                <w:szCs w:val="21"/>
                <w:highlight w:val="none"/>
                <w:vertAlign w:val="baseline"/>
                <w:lang w:val="en-US" w:eastAsia="zh-CN" w:bidi="ar-SA"/>
              </w:rPr>
            </w:pPr>
            <w:r>
              <w:rPr>
                <w:rFonts w:hint="eastAsia" w:ascii="宋体" w:hAnsi="宋体" w:eastAsia="宋体" w:cs="宋体"/>
                <w:b w:val="0"/>
                <w:bCs/>
                <w:color w:val="auto"/>
                <w:kern w:val="2"/>
                <w:sz w:val="21"/>
                <w:szCs w:val="21"/>
                <w:highlight w:val="none"/>
                <w:vertAlign w:val="baseline"/>
                <w:lang w:val="en-US" w:eastAsia="zh-CN" w:bidi="ar-SA"/>
              </w:rPr>
              <w:t>车辆、设备名称</w:t>
            </w:r>
          </w:p>
        </w:tc>
        <w:tc>
          <w:tcPr>
            <w:tcW w:w="1725" w:type="dxa"/>
            <w:noWrap w:val="0"/>
            <w:vAlign w:val="top"/>
          </w:tcPr>
          <w:p w14:paraId="08C06D07">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r>
              <w:rPr>
                <w:rFonts w:hint="eastAsia" w:ascii="宋体" w:hAnsi="宋体" w:eastAsia="宋体" w:cs="宋体"/>
                <w:b w:val="0"/>
                <w:bCs/>
                <w:color w:val="auto"/>
                <w:kern w:val="2"/>
                <w:sz w:val="21"/>
                <w:szCs w:val="21"/>
                <w:highlight w:val="none"/>
                <w:vertAlign w:val="baseline"/>
                <w:lang w:val="en-US" w:eastAsia="zh-CN" w:bidi="ar-SA"/>
              </w:rPr>
              <w:t>数量</w:t>
            </w:r>
          </w:p>
        </w:tc>
        <w:tc>
          <w:tcPr>
            <w:tcW w:w="4041" w:type="dxa"/>
            <w:noWrap w:val="0"/>
            <w:vAlign w:val="top"/>
          </w:tcPr>
          <w:p w14:paraId="179B14B3">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r>
              <w:rPr>
                <w:rFonts w:hint="eastAsia" w:ascii="宋体" w:hAnsi="宋体" w:eastAsia="宋体" w:cs="宋体"/>
                <w:b w:val="0"/>
                <w:bCs/>
                <w:color w:val="auto"/>
                <w:kern w:val="2"/>
                <w:sz w:val="21"/>
                <w:szCs w:val="21"/>
                <w:highlight w:val="none"/>
                <w:vertAlign w:val="baseline"/>
                <w:lang w:val="en-US" w:eastAsia="zh-CN" w:bidi="ar-SA"/>
              </w:rPr>
              <w:t>备注</w:t>
            </w:r>
          </w:p>
        </w:tc>
      </w:tr>
      <w:tr w14:paraId="5140F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3492" w:type="dxa"/>
            <w:noWrap w:val="0"/>
            <w:vAlign w:val="top"/>
          </w:tcPr>
          <w:p w14:paraId="1E89D64F">
            <w:pPr>
              <w:widowControl w:val="0"/>
              <w:numPr>
                <w:ilvl w:val="0"/>
                <w:numId w:val="0"/>
              </w:numPr>
              <w:spacing w:after="0" w:line="360" w:lineRule="auto"/>
              <w:ind w:left="0" w:leftChars="0" w:firstLine="0" w:firstLineChars="0"/>
              <w:contextualSpacing/>
              <w:jc w:val="center"/>
              <w:rPr>
                <w:rFonts w:hint="eastAsia" w:ascii="宋体" w:hAnsi="宋体" w:eastAsia="宋体" w:cs="宋体"/>
                <w:b w:val="0"/>
                <w:bCs/>
                <w:color w:val="auto"/>
                <w:kern w:val="2"/>
                <w:sz w:val="21"/>
                <w:szCs w:val="21"/>
                <w:highlight w:val="none"/>
                <w:vertAlign w:val="baseline"/>
                <w:lang w:val="en-US" w:eastAsia="zh-CN" w:bidi="ar-SA"/>
              </w:rPr>
            </w:pPr>
          </w:p>
        </w:tc>
        <w:tc>
          <w:tcPr>
            <w:tcW w:w="1725" w:type="dxa"/>
            <w:noWrap w:val="0"/>
            <w:vAlign w:val="top"/>
          </w:tcPr>
          <w:p w14:paraId="4E999A4E">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p>
        </w:tc>
        <w:tc>
          <w:tcPr>
            <w:tcW w:w="4041" w:type="dxa"/>
            <w:noWrap w:val="0"/>
            <w:vAlign w:val="top"/>
          </w:tcPr>
          <w:p w14:paraId="7ABA4A36">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p>
        </w:tc>
      </w:tr>
      <w:tr w14:paraId="2227E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3492" w:type="dxa"/>
            <w:noWrap w:val="0"/>
            <w:vAlign w:val="top"/>
          </w:tcPr>
          <w:p w14:paraId="52AC9487">
            <w:pPr>
              <w:widowControl w:val="0"/>
              <w:numPr>
                <w:ilvl w:val="0"/>
                <w:numId w:val="0"/>
              </w:numPr>
              <w:spacing w:after="0" w:line="360" w:lineRule="auto"/>
              <w:ind w:left="0" w:leftChars="0" w:firstLine="0" w:firstLineChars="0"/>
              <w:contextualSpacing/>
              <w:jc w:val="center"/>
              <w:rPr>
                <w:rFonts w:hint="eastAsia" w:ascii="宋体" w:hAnsi="宋体" w:eastAsia="宋体" w:cs="宋体"/>
                <w:b w:val="0"/>
                <w:bCs/>
                <w:color w:val="auto"/>
                <w:kern w:val="2"/>
                <w:sz w:val="21"/>
                <w:szCs w:val="21"/>
                <w:highlight w:val="none"/>
                <w:vertAlign w:val="baseline"/>
                <w:lang w:val="en-US" w:eastAsia="zh-CN" w:bidi="ar-SA"/>
              </w:rPr>
            </w:pPr>
          </w:p>
        </w:tc>
        <w:tc>
          <w:tcPr>
            <w:tcW w:w="1725" w:type="dxa"/>
            <w:noWrap w:val="0"/>
            <w:vAlign w:val="top"/>
          </w:tcPr>
          <w:p w14:paraId="5E9E3C80">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p>
        </w:tc>
        <w:tc>
          <w:tcPr>
            <w:tcW w:w="4041" w:type="dxa"/>
            <w:noWrap w:val="0"/>
            <w:vAlign w:val="top"/>
          </w:tcPr>
          <w:p w14:paraId="2D92AB06">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p>
        </w:tc>
      </w:tr>
      <w:tr w14:paraId="34AFB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3492" w:type="dxa"/>
            <w:noWrap w:val="0"/>
            <w:vAlign w:val="top"/>
          </w:tcPr>
          <w:p w14:paraId="67EC06FE">
            <w:pPr>
              <w:widowControl w:val="0"/>
              <w:numPr>
                <w:ilvl w:val="0"/>
                <w:numId w:val="0"/>
              </w:numPr>
              <w:spacing w:after="0" w:line="360" w:lineRule="auto"/>
              <w:ind w:firstLine="420" w:firstLineChars="200"/>
              <w:contextualSpacing/>
              <w:jc w:val="center"/>
              <w:rPr>
                <w:rFonts w:hint="default" w:ascii="宋体" w:hAnsi="宋体" w:eastAsia="宋体" w:cs="宋体"/>
                <w:b w:val="0"/>
                <w:bCs/>
                <w:color w:val="auto"/>
                <w:kern w:val="2"/>
                <w:sz w:val="21"/>
                <w:szCs w:val="21"/>
                <w:highlight w:val="none"/>
                <w:vertAlign w:val="baseline"/>
                <w:lang w:val="en-US" w:eastAsia="zh-CN" w:bidi="ar-SA"/>
              </w:rPr>
            </w:pPr>
          </w:p>
        </w:tc>
        <w:tc>
          <w:tcPr>
            <w:tcW w:w="1725" w:type="dxa"/>
            <w:noWrap w:val="0"/>
            <w:vAlign w:val="top"/>
          </w:tcPr>
          <w:p w14:paraId="1647540F">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p>
        </w:tc>
        <w:tc>
          <w:tcPr>
            <w:tcW w:w="4041" w:type="dxa"/>
            <w:noWrap w:val="0"/>
            <w:vAlign w:val="top"/>
          </w:tcPr>
          <w:p w14:paraId="4E82A9FE">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p>
        </w:tc>
      </w:tr>
      <w:tr w14:paraId="20799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3492" w:type="dxa"/>
            <w:noWrap w:val="0"/>
            <w:vAlign w:val="top"/>
          </w:tcPr>
          <w:p w14:paraId="4736A40B">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lang w:val="en-US" w:eastAsia="zh-CN" w:bidi="ar-SA"/>
              </w:rPr>
            </w:pPr>
          </w:p>
        </w:tc>
        <w:tc>
          <w:tcPr>
            <w:tcW w:w="1725" w:type="dxa"/>
            <w:noWrap w:val="0"/>
            <w:vAlign w:val="top"/>
          </w:tcPr>
          <w:p w14:paraId="5E484152">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p>
        </w:tc>
        <w:tc>
          <w:tcPr>
            <w:tcW w:w="4041" w:type="dxa"/>
            <w:noWrap w:val="0"/>
            <w:vAlign w:val="top"/>
          </w:tcPr>
          <w:p w14:paraId="4F02D722">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p>
        </w:tc>
      </w:tr>
      <w:tr w14:paraId="05B0D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3492" w:type="dxa"/>
            <w:noWrap w:val="0"/>
            <w:vAlign w:val="top"/>
          </w:tcPr>
          <w:p w14:paraId="086C9335">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lang w:val="en-US" w:eastAsia="zh-CN" w:bidi="ar-SA"/>
              </w:rPr>
            </w:pPr>
          </w:p>
        </w:tc>
        <w:tc>
          <w:tcPr>
            <w:tcW w:w="1725" w:type="dxa"/>
            <w:noWrap w:val="0"/>
            <w:vAlign w:val="top"/>
          </w:tcPr>
          <w:p w14:paraId="0DFB6A09">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p>
        </w:tc>
        <w:tc>
          <w:tcPr>
            <w:tcW w:w="4041" w:type="dxa"/>
            <w:noWrap w:val="0"/>
            <w:vAlign w:val="top"/>
          </w:tcPr>
          <w:p w14:paraId="1219AC59">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p>
        </w:tc>
      </w:tr>
    </w:tbl>
    <w:p w14:paraId="3491A8EB">
      <w:pPr>
        <w:ind w:firstLine="420" w:firstLineChars="200"/>
        <w:rPr>
          <w:rFonts w:hint="default" w:ascii="Times New Roman" w:hAnsi="Times New Roman" w:eastAsia="宋体" w:cs="Times New Roman"/>
          <w:kern w:val="2"/>
          <w:highlight w:val="none"/>
          <w:lang w:val="en-US" w:eastAsia="zh-CN"/>
        </w:rPr>
      </w:pPr>
      <w:r>
        <w:rPr>
          <w:rFonts w:hint="eastAsia" w:ascii="宋体" w:hAnsi="宋体" w:eastAsia="宋体" w:cs="宋体"/>
          <w:b w:val="0"/>
          <w:bCs/>
          <w:color w:val="auto"/>
          <w:kern w:val="2"/>
          <w:sz w:val="21"/>
          <w:szCs w:val="21"/>
          <w:highlight w:val="none"/>
          <w:lang w:val="en-US" w:eastAsia="zh-CN"/>
        </w:rPr>
        <w:t>本项目养护合同签订后，供应商应按照响应文件中承诺的车辆、设备数量及其他内容，向采购人上报所有养护车辆、设备的信息资料，包括但不限于行驶证（若有）、发票或购销合同、租赁合同等。</w:t>
      </w:r>
    </w:p>
    <w:p w14:paraId="63B18EF0">
      <w:pPr>
        <w:spacing w:line="360" w:lineRule="auto"/>
        <w:ind w:firstLine="420" w:firstLineChars="200"/>
        <w:rPr>
          <w:rFonts w:hint="eastAsia" w:ascii="宋体" w:hAnsi="宋体" w:eastAsia="宋体" w:cs="宋体"/>
          <w:color w:val="000000"/>
          <w:kern w:val="0"/>
          <w:sz w:val="21"/>
          <w:szCs w:val="21"/>
          <w:highlight w:val="none"/>
        </w:rPr>
      </w:pPr>
      <w:r>
        <w:rPr>
          <w:rFonts w:hint="eastAsia" w:ascii="宋体" w:hAnsi="宋体" w:eastAsia="宋体" w:cs="宋体"/>
          <w:kern w:val="0"/>
          <w:sz w:val="21"/>
          <w:szCs w:val="21"/>
          <w:highlight w:val="none"/>
        </w:rPr>
        <w:t xml:space="preserve">二、合同价款： </w:t>
      </w:r>
    </w:p>
    <w:p w14:paraId="65778F8F">
      <w:pPr>
        <w:spacing w:line="360" w:lineRule="auto"/>
        <w:ind w:firstLine="420" w:firstLineChars="200"/>
        <w:rPr>
          <w:rFonts w:hint="eastAsia" w:ascii="宋体" w:hAnsi="宋体" w:eastAsia="宋体" w:cs="宋体"/>
          <w:kern w:val="2"/>
          <w:sz w:val="21"/>
          <w:szCs w:val="21"/>
          <w:highlight w:val="none"/>
          <w:lang w:val="en-US" w:eastAsia="zh-CN"/>
        </w:rPr>
      </w:pPr>
      <w:r>
        <w:rPr>
          <w:rFonts w:hint="eastAsia" w:ascii="宋体" w:hAnsi="宋体" w:eastAsia="宋体" w:cs="宋体"/>
          <w:color w:val="000000"/>
          <w:kern w:val="0"/>
          <w:sz w:val="21"/>
          <w:szCs w:val="21"/>
          <w:highlight w:val="none"/>
        </w:rPr>
        <w:t>1、合同价款人民币（单位：元/年）：（大写）</w:t>
      </w:r>
      <w:r>
        <w:rPr>
          <w:rFonts w:hint="eastAsia" w:ascii="宋体" w:hAnsi="宋体" w:eastAsia="宋体" w:cs="宋体"/>
          <w:color w:val="000000"/>
          <w:kern w:val="0"/>
          <w:sz w:val="21"/>
          <w:szCs w:val="21"/>
          <w:highlight w:val="none"/>
          <w:u w:val="single"/>
        </w:rPr>
        <w:t xml:space="preserve">                    </w:t>
      </w:r>
      <w:r>
        <w:rPr>
          <w:rFonts w:hint="eastAsia" w:ascii="宋体" w:hAnsi="宋体" w:eastAsia="宋体" w:cs="宋体"/>
          <w:color w:val="000000"/>
          <w:kern w:val="0"/>
          <w:sz w:val="21"/>
          <w:szCs w:val="21"/>
          <w:highlight w:val="none"/>
        </w:rPr>
        <w:t>（￥</w:t>
      </w:r>
      <w:r>
        <w:rPr>
          <w:rFonts w:hint="eastAsia" w:ascii="宋体" w:hAnsi="宋体" w:eastAsia="宋体" w:cs="宋体"/>
          <w:color w:val="000000"/>
          <w:kern w:val="0"/>
          <w:sz w:val="21"/>
          <w:szCs w:val="21"/>
          <w:highlight w:val="none"/>
          <w:u w:val="single"/>
        </w:rPr>
        <w:t>：               元）；</w:t>
      </w:r>
      <w:r>
        <w:rPr>
          <w:rFonts w:hint="eastAsia" w:ascii="宋体" w:hAnsi="宋体" w:eastAsia="宋体" w:cs="宋体"/>
          <w:b w:val="0"/>
          <w:bCs/>
          <w:color w:val="000000"/>
          <w:kern w:val="0"/>
          <w:sz w:val="21"/>
          <w:szCs w:val="21"/>
          <w:highlight w:val="none"/>
          <w:u w:val="none"/>
          <w:lang w:val="en-US" w:eastAsia="zh-CN"/>
        </w:rPr>
        <w:t>其中：</w:t>
      </w:r>
      <w:r>
        <w:rPr>
          <w:rFonts w:hint="eastAsia" w:ascii="宋体" w:hAnsi="宋体" w:eastAsia="宋体" w:cs="宋体"/>
          <w:b w:val="0"/>
          <w:bCs/>
          <w:kern w:val="2"/>
          <w:sz w:val="21"/>
          <w:szCs w:val="21"/>
          <w:highlight w:val="none"/>
          <w:lang w:val="en-US" w:eastAsia="zh-CN"/>
        </w:rPr>
        <w:t>中标月养护单价为：</w:t>
      </w:r>
      <w:r>
        <w:rPr>
          <w:rFonts w:hint="eastAsia" w:ascii="宋体" w:hAnsi="宋体" w:eastAsia="宋体" w:cs="宋体"/>
          <w:color w:val="000000"/>
          <w:kern w:val="0"/>
          <w:sz w:val="21"/>
          <w:szCs w:val="21"/>
          <w:highlight w:val="none"/>
          <w:u w:val="single"/>
        </w:rPr>
        <w:t xml:space="preserve">     </w:t>
      </w:r>
      <w:r>
        <w:rPr>
          <w:rFonts w:hint="eastAsia" w:ascii="宋体" w:hAnsi="宋体" w:eastAsia="宋体" w:cs="宋体"/>
          <w:b w:val="0"/>
          <w:bCs/>
          <w:kern w:val="2"/>
          <w:sz w:val="21"/>
          <w:szCs w:val="21"/>
          <w:highlight w:val="none"/>
          <w:lang w:val="en-US" w:eastAsia="zh-CN"/>
        </w:rPr>
        <w:t>元/平方米</w:t>
      </w:r>
    </w:p>
    <w:p w14:paraId="4CBD8DE9">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 xml:space="preserve"> 三、养护费结算方式</w:t>
      </w:r>
    </w:p>
    <w:p w14:paraId="63AD3F57">
      <w:pPr>
        <w:spacing w:line="360" w:lineRule="auto"/>
        <w:ind w:firstLine="420"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1、养护款根据实际养护面积、养护内容按实结算。</w:t>
      </w:r>
    </w:p>
    <w:p w14:paraId="07EA8429">
      <w:pPr>
        <w:spacing w:line="360" w:lineRule="auto"/>
        <w:ind w:firstLine="420" w:firstLineChars="200"/>
        <w:rPr>
          <w:rFonts w:hint="eastAsia" w:ascii="宋体" w:hAnsi="宋体" w:eastAsia="宋体" w:cs="宋体"/>
          <w:b w:val="0"/>
          <w:bCs/>
          <w:kern w:val="2"/>
          <w:sz w:val="21"/>
          <w:szCs w:val="21"/>
          <w:highlight w:val="none"/>
        </w:rPr>
      </w:pPr>
      <w:r>
        <w:rPr>
          <w:rFonts w:hint="eastAsia" w:ascii="宋体" w:hAnsi="宋体" w:eastAsia="宋体" w:cs="宋体"/>
          <w:color w:val="000000"/>
          <w:kern w:val="0"/>
          <w:sz w:val="21"/>
          <w:szCs w:val="21"/>
          <w:highlight w:val="none"/>
        </w:rPr>
        <w:t>2、</w:t>
      </w:r>
      <w:r>
        <w:rPr>
          <w:rFonts w:hint="eastAsia" w:ascii="宋体" w:hAnsi="宋体" w:eastAsia="宋体" w:cs="宋体"/>
          <w:b w:val="0"/>
          <w:bCs/>
          <w:kern w:val="2"/>
          <w:sz w:val="21"/>
          <w:szCs w:val="21"/>
          <w:highlight w:val="none"/>
        </w:rPr>
        <w:t>养护费结算方式及其他：</w:t>
      </w:r>
    </w:p>
    <w:p w14:paraId="2CDAB2BF">
      <w:pPr>
        <w:widowControl w:val="0"/>
        <w:numPr>
          <w:ilvl w:val="0"/>
          <w:numId w:val="0"/>
        </w:numPr>
        <w:spacing w:line="360" w:lineRule="auto"/>
        <w:ind w:leftChars="0" w:firstLine="420" w:firstLineChars="200"/>
        <w:contextualSpacing/>
        <w:jc w:val="both"/>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2.1合同签订后支付合同价的10%作为预付款，一年养护期满且考核合格后支付剩余款项。</w:t>
      </w:r>
    </w:p>
    <w:p w14:paraId="275CC4A2">
      <w:pPr>
        <w:widowControl w:val="0"/>
        <w:numPr>
          <w:ilvl w:val="0"/>
          <w:numId w:val="0"/>
        </w:numPr>
        <w:spacing w:line="360" w:lineRule="auto"/>
        <w:ind w:leftChars="0" w:firstLine="420" w:firstLineChars="200"/>
        <w:contextualSpacing/>
        <w:jc w:val="both"/>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各支付节点支付项目价款时需同时提供等额的增值税专用发票（发票需符合国家税务总局的相关要求，发票税点符合税法相关要求）。</w:t>
      </w:r>
    </w:p>
    <w:p w14:paraId="1BDC7586">
      <w:pPr>
        <w:widowControl w:val="0"/>
        <w:numPr>
          <w:ilvl w:val="0"/>
          <w:numId w:val="0"/>
        </w:numPr>
        <w:spacing w:line="360" w:lineRule="auto"/>
        <w:ind w:leftChars="0" w:firstLine="420" w:firstLineChars="200"/>
        <w:contextualSpacing/>
        <w:jc w:val="both"/>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2.2结算养护款=结算养护款1+结算养护款2-考核扣款</w:t>
      </w:r>
    </w:p>
    <w:p w14:paraId="45A61FF2">
      <w:pPr>
        <w:widowControl w:val="0"/>
        <w:numPr>
          <w:ilvl w:val="0"/>
          <w:numId w:val="0"/>
        </w:numPr>
        <w:spacing w:line="360" w:lineRule="auto"/>
        <w:ind w:leftChars="0" w:firstLine="420" w:firstLineChars="200"/>
        <w:contextualSpacing/>
        <w:jc w:val="both"/>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2.2.1结算养护款1=养护面积*中标月养护单价*养护月份（不足一个月按30天进行折算，四舍五入保留两位小数）</w:t>
      </w:r>
    </w:p>
    <w:p w14:paraId="636252C5">
      <w:pPr>
        <w:widowControl w:val="0"/>
        <w:numPr>
          <w:ilvl w:val="0"/>
          <w:numId w:val="0"/>
        </w:numPr>
        <w:spacing w:line="360" w:lineRule="auto"/>
        <w:ind w:leftChars="0" w:firstLine="420" w:firstLineChars="200"/>
        <w:contextualSpacing/>
        <w:jc w:val="both"/>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2.2.2结算养护款2=修剪、除草（养护期中的一次性费用）。由采购人验收合格后按实计量，且只计一次。</w:t>
      </w:r>
    </w:p>
    <w:p w14:paraId="074C287E">
      <w:pPr>
        <w:widowControl w:val="0"/>
        <w:numPr>
          <w:ilvl w:val="0"/>
          <w:numId w:val="0"/>
        </w:numPr>
        <w:spacing w:line="360" w:lineRule="auto"/>
        <w:ind w:leftChars="0" w:firstLine="420" w:firstLineChars="200"/>
        <w:contextualSpacing/>
        <w:jc w:val="both"/>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2.2.3考核扣款：根据考核结果对考核扣款进行相应扣除。</w:t>
      </w:r>
    </w:p>
    <w:p w14:paraId="2CF5BEB8">
      <w:pPr>
        <w:widowControl w:val="0"/>
        <w:numPr>
          <w:ilvl w:val="0"/>
          <w:numId w:val="0"/>
        </w:numPr>
        <w:spacing w:line="360" w:lineRule="auto"/>
        <w:ind w:leftChars="0" w:firstLine="420" w:firstLineChars="200"/>
        <w:contextualSpacing/>
        <w:jc w:val="both"/>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2.3养护费用开票统一按照养护类发票开票。</w:t>
      </w:r>
    </w:p>
    <w:p w14:paraId="1651BEA3">
      <w:pPr>
        <w:widowControl w:val="0"/>
        <w:numPr>
          <w:ilvl w:val="0"/>
          <w:numId w:val="0"/>
        </w:numPr>
        <w:spacing w:line="360" w:lineRule="auto"/>
        <w:ind w:leftChars="0" w:firstLine="420" w:firstLineChars="200"/>
        <w:contextualSpacing/>
        <w:jc w:val="both"/>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2.4因养护考核原因需要解除合同的，实际退场时间由甲方决定。</w:t>
      </w:r>
    </w:p>
    <w:p w14:paraId="3B7934F5">
      <w:pPr>
        <w:spacing w:line="360" w:lineRule="auto"/>
        <w:ind w:firstLine="420"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3、乙方养护单位产生的养护垃圾(如修剪废弃物，浇水泥浆),各类枯枝落叶等必须及时清理，做到人走场清，如发现处理不到位的按情节严重程度支付违约金1000-5000元/次，并扣除当月月度考核得分3分。</w:t>
      </w:r>
    </w:p>
    <w:p w14:paraId="5D724242">
      <w:pPr>
        <w:spacing w:line="360" w:lineRule="auto"/>
        <w:ind w:firstLine="420"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rPr>
        <w:t>4</w:t>
      </w:r>
      <w:r>
        <w:rPr>
          <w:rFonts w:hint="eastAsia" w:ascii="宋体" w:hAnsi="宋体" w:eastAsia="宋体" w:cs="宋体"/>
          <w:color w:val="000000"/>
          <w:kern w:val="0"/>
          <w:sz w:val="21"/>
          <w:szCs w:val="21"/>
          <w:highlight w:val="none"/>
        </w:rPr>
        <w:t>、因养护考核不合格等乙方原因导致不具备续签或需要解除合同的，乙方应在甲方要求的期限内退场，否则甲方有权扣除全部履约保证金并并赔偿因此给甲方造成的全部损失。</w:t>
      </w:r>
    </w:p>
    <w:p w14:paraId="6DDF430B">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四、甲方权利和义务</w:t>
      </w:r>
    </w:p>
    <w:p w14:paraId="7FD20921">
      <w:pPr>
        <w:spacing w:line="360" w:lineRule="auto"/>
        <w:ind w:firstLine="420"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1、根据甲方绿化养护要求及乙方响应文件中的承诺，对乙方提供的服务及履行本合同情况实行验收考核。</w:t>
      </w:r>
    </w:p>
    <w:p w14:paraId="7EDB4906">
      <w:pPr>
        <w:spacing w:line="360" w:lineRule="auto"/>
        <w:ind w:firstLine="420"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2、因突发事件及重大活动，甲方需调动乙方人员、设备时，乙方应服从安排予以配合。</w:t>
      </w:r>
    </w:p>
    <w:p w14:paraId="17F8B9CF">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3、按照附件文件要求，甲方对乙方养护管理工作进行检查考核，并打分，根据考核结果支付养护费用。</w:t>
      </w:r>
    </w:p>
    <w:p w14:paraId="34223084">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4、甲方有义务在适当的范围内公开考核结果。</w:t>
      </w:r>
    </w:p>
    <w:p w14:paraId="3BD41881">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五、乙方权利和义务</w:t>
      </w:r>
    </w:p>
    <w:p w14:paraId="57A8776F">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1、乙方根据附件有关要求，积极主动保质保量地完成绿化养护工作。</w:t>
      </w:r>
    </w:p>
    <w:p w14:paraId="711F8857">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2、接受并主动配合甲方及行业管理部门的检查。</w:t>
      </w:r>
    </w:p>
    <w:p w14:paraId="4940F8E2">
      <w:pPr>
        <w:spacing w:line="360" w:lineRule="auto"/>
        <w:ind w:firstLine="420" w:firstLineChars="200"/>
        <w:rPr>
          <w:rFonts w:hint="eastAsia" w:ascii="宋体" w:hAnsi="宋体" w:eastAsia="宋体" w:cs="宋体"/>
          <w:color w:val="0000FF"/>
          <w:kern w:val="2"/>
          <w:sz w:val="21"/>
          <w:szCs w:val="21"/>
          <w:highlight w:val="none"/>
        </w:rPr>
      </w:pPr>
      <w:r>
        <w:rPr>
          <w:rFonts w:hint="eastAsia" w:ascii="宋体" w:hAnsi="宋体" w:eastAsia="宋体" w:cs="宋体"/>
          <w:color w:val="000000"/>
          <w:kern w:val="2"/>
          <w:sz w:val="21"/>
          <w:szCs w:val="21"/>
          <w:highlight w:val="none"/>
        </w:rPr>
        <w:t>3、养护范围之外的突击性、突发性工作，乙方须服从甲方的安排，不得无故拖延。</w:t>
      </w:r>
    </w:p>
    <w:p w14:paraId="16B0C7C1">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4、因管养不当造成植物死亡负责及时补植，或按照苗木价格照价赔偿。如不在规定期限内补植或赔偿到位的，乙方应按1000元/天的标准支付违约金，甲方有权从养护费用中直接扣除该等违约金并按照《常州市园林绿化养护企业信用管理办法（试行）》追责。乙方须做好苗木保管工作，苗木因被盗产生损失的由乙方负责按照原品种原规格无偿补植到位，或照价赔偿。</w:t>
      </w:r>
    </w:p>
    <w:p w14:paraId="31B2E945">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kern w:val="2"/>
          <w:sz w:val="21"/>
          <w:szCs w:val="21"/>
          <w:highlight w:val="none"/>
        </w:rPr>
        <w:t>5、乙方应做好对养护区域内植物的安全防护，出现苗木受损及死亡（包括人为踩踏等），应及时上</w:t>
      </w:r>
      <w:r>
        <w:rPr>
          <w:rFonts w:hint="eastAsia" w:ascii="宋体" w:hAnsi="宋体" w:eastAsia="宋体" w:cs="宋体"/>
          <w:color w:val="000000"/>
          <w:kern w:val="2"/>
          <w:sz w:val="21"/>
          <w:szCs w:val="21"/>
          <w:highlight w:val="none"/>
        </w:rPr>
        <w:t>报并按甲方要求及时恢复到位，规格有差异的相关差价由甲方确定，费用由乙方承担；</w:t>
      </w:r>
    </w:p>
    <w:p w14:paraId="516AA73A">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6、乙方应做好详细的养护台账，按照实际发生苗木核增核减情况建立绿地档案，并在每月月末将每月的养护总结及下月的工作计划报送甲方。</w:t>
      </w:r>
    </w:p>
    <w:p w14:paraId="0AC46402">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7、乙方有义务响应甲方组织的防灾抗灾演练。</w:t>
      </w:r>
    </w:p>
    <w:p w14:paraId="0A2C921E">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8、按甲方的养护标准保质、保量按期完成各阶段的管养任务，在合同履行期乙方必须做到文明安全作业，养护期间发生的安全事故和任何劳资纠纷由乙方全面负责，甲方概不负责；管养人员的工资待遇、降温补贴、保险、福利等，乙方应按照最新的劳动合同法和上级政策的有关规定执行，由于乙方的原因造成的劳资纠纷、民事责任等，一律由乙方负责解决并承担一切法律后果，与甲方无涉。</w:t>
      </w:r>
    </w:p>
    <w:p w14:paraId="4BD29845">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9、乙方所配备的车辆须符合公安等部门的相关规定，否则一切后果由乙方承担。</w:t>
      </w:r>
    </w:p>
    <w:p w14:paraId="7882350B">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10、乙方</w:t>
      </w:r>
      <w:r>
        <w:rPr>
          <w:rFonts w:hint="eastAsia" w:ascii="宋体" w:hAnsi="宋体" w:eastAsia="宋体" w:cs="宋体"/>
          <w:color w:val="000000"/>
          <w:kern w:val="2"/>
          <w:sz w:val="21"/>
          <w:szCs w:val="21"/>
          <w:highlight w:val="none"/>
          <w:lang w:val="en-US" w:eastAsia="zh-CN"/>
        </w:rPr>
        <w:t>提供履约担保的形式、金额及期限的：</w:t>
      </w:r>
      <w:r>
        <w:rPr>
          <w:rFonts w:hint="eastAsia" w:ascii="宋体" w:hAnsi="宋体" w:eastAsia="宋体" w:cs="宋体"/>
          <w:color w:val="000000"/>
          <w:kern w:val="2"/>
          <w:sz w:val="21"/>
          <w:szCs w:val="21"/>
          <w:highlight w:val="none"/>
        </w:rPr>
        <w:t>乙方</w:t>
      </w:r>
      <w:r>
        <w:rPr>
          <w:rFonts w:hint="eastAsia" w:ascii="宋体" w:hAnsi="宋体" w:eastAsia="宋体" w:cs="宋体"/>
          <w:color w:val="000000"/>
          <w:kern w:val="2"/>
          <w:sz w:val="21"/>
          <w:szCs w:val="21"/>
          <w:highlight w:val="none"/>
          <w:lang w:val="en-US" w:eastAsia="zh-CN"/>
        </w:rPr>
        <w:t>在合同签订前，向</w:t>
      </w:r>
      <w:r>
        <w:rPr>
          <w:rFonts w:hint="eastAsia" w:ascii="宋体" w:hAnsi="宋体" w:eastAsia="宋体" w:cs="宋体"/>
          <w:color w:val="000000"/>
          <w:kern w:val="2"/>
          <w:sz w:val="21"/>
          <w:szCs w:val="21"/>
          <w:highlight w:val="none"/>
        </w:rPr>
        <w:t>甲方</w:t>
      </w:r>
      <w:r>
        <w:rPr>
          <w:rFonts w:hint="eastAsia" w:ascii="宋体" w:hAnsi="宋体" w:eastAsia="宋体" w:cs="宋体"/>
          <w:color w:val="000000"/>
          <w:kern w:val="2"/>
          <w:sz w:val="21"/>
          <w:szCs w:val="21"/>
          <w:highlight w:val="none"/>
          <w:lang w:val="en-US" w:eastAsia="zh-CN"/>
        </w:rPr>
        <w:t>提供相当于合同总价 5 %的履约保证金（中标供应商自主选择以支票、汇票、本票、保函等非现金形式缴纳或提交），</w:t>
      </w:r>
      <w:r>
        <w:rPr>
          <w:rFonts w:hint="eastAsia" w:ascii="宋体" w:hAnsi="宋体" w:eastAsia="宋体" w:cs="宋体"/>
          <w:color w:val="000000"/>
          <w:kern w:val="2"/>
          <w:sz w:val="21"/>
          <w:szCs w:val="21"/>
          <w:highlight w:val="none"/>
        </w:rPr>
        <w:t>甲方</w:t>
      </w:r>
      <w:r>
        <w:rPr>
          <w:rFonts w:hint="eastAsia" w:ascii="宋体" w:hAnsi="宋体" w:eastAsia="宋体" w:cs="宋体"/>
          <w:color w:val="000000"/>
          <w:kern w:val="2"/>
          <w:sz w:val="21"/>
          <w:szCs w:val="21"/>
          <w:highlight w:val="none"/>
          <w:lang w:val="en-US" w:eastAsia="zh-CN"/>
        </w:rPr>
        <w:t>将在终验完毕后返还乙方履约保证金（不计息）。</w:t>
      </w:r>
    </w:p>
    <w:p w14:paraId="1DF9CB63">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六、考核办法</w:t>
      </w:r>
    </w:p>
    <w:p w14:paraId="14BD19E5">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（一）、考核依据</w:t>
      </w:r>
    </w:p>
    <w:p w14:paraId="40740D10">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1、甲方与乙方签订的合同。</w:t>
      </w:r>
    </w:p>
    <w:p w14:paraId="6D3CDCB1">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2、</w:t>
      </w:r>
      <w:r>
        <w:rPr>
          <w:rFonts w:hint="eastAsia" w:ascii="宋体" w:hAnsi="宋体" w:eastAsia="宋体" w:cs="宋体"/>
          <w:kern w:val="2"/>
          <w:sz w:val="21"/>
          <w:szCs w:val="21"/>
          <w:highlight w:val="none"/>
        </w:rPr>
        <w:t>《朱林镇绿化养护标准》、《朱林镇绿化养护考核办法》等文件。其他可以作为考核标准的法律、法规与相关文件。</w:t>
      </w:r>
      <w:r>
        <w:rPr>
          <w:rFonts w:hint="eastAsia" w:ascii="宋体" w:hAnsi="宋体" w:eastAsia="宋体" w:cs="宋体"/>
          <w:color w:val="000000"/>
          <w:kern w:val="2"/>
          <w:sz w:val="21"/>
          <w:szCs w:val="21"/>
          <w:highlight w:val="none"/>
        </w:rPr>
        <w:t>其他可以作为考核标准的法律、法规与相关文件。</w:t>
      </w:r>
    </w:p>
    <w:p w14:paraId="150730EB">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3、镇政府相关科室组织人员进行考核。</w:t>
      </w:r>
    </w:p>
    <w:p w14:paraId="4B88B4A2">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4、每月完成考核后，根据考核得分核算当月综合考核得分，第二个月将综合考核得分结果进行公示，并召开考核点评会将综合考核结果通报给乙方。</w:t>
      </w:r>
    </w:p>
    <w:p w14:paraId="72E8B03C">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（二）、考核措施及违约责任</w:t>
      </w:r>
    </w:p>
    <w:p w14:paraId="7F2AD298">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每月考核综合评分，得90分及以上的获当月全额养护费；得分从90分以下开始至85分（含85分），每减少1分核减当月养护费2%；得分从85分以下开始至80分（含80分），每减少1分核减当月养护费4%；得分从80分以下，每减少1分核减当月养护费6%，扣完为止；费用计算以百分数相加相减，不做复利计算。低于80分的当月考核不合格，除按规定核减当月养护款外，扣除1/3履约保证金 。连续两次月度考核不合格，或者全年累计三次月度考核不合格，甲方有权解除合同，按合同约定核减养护费用，扣除全部履约保证金。由原招标产生的第二名绿化养护公司管理，若第二名放弃，依次顺延，价格按照相应投标价格执行。</w:t>
      </w:r>
    </w:p>
    <w:p w14:paraId="1E8A2BFB">
      <w:pPr>
        <w:numPr>
          <w:ilvl w:val="0"/>
          <w:numId w:val="14"/>
        </w:num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乙方在养护过程中出现如下情况的发现一次，支付违约金1000元；发现二次，支付违约金10000元，同时当月综合得分额外扣5分；发现三次，甲方有权终止合同，并扣除全部履约保证金；造成损失的，乙方应按原品种规格按照甲方规定时间内补植到位，并加强养护，确保成活（苗木及种植等费用均由乙方承担）。</w:t>
      </w:r>
    </w:p>
    <w:p w14:paraId="28C53427">
      <w:pPr>
        <w:spacing w:line="360" w:lineRule="auto"/>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（1）、未按甲方要求上报工作计划的</w:t>
      </w:r>
    </w:p>
    <w:p w14:paraId="5404045E">
      <w:pPr>
        <w:spacing w:line="360" w:lineRule="auto"/>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（2）、未按工作计划完成工作的；</w:t>
      </w:r>
    </w:p>
    <w:p w14:paraId="356DAEF7">
      <w:pPr>
        <w:spacing w:line="360" w:lineRule="auto"/>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（3）、擅自使用化学除草药剂的；</w:t>
      </w:r>
    </w:p>
    <w:p w14:paraId="1732C4F8">
      <w:pPr>
        <w:spacing w:line="360" w:lineRule="auto"/>
        <w:rPr>
          <w:rFonts w:hint="eastAsia" w:ascii="宋体" w:hAnsi="宋体" w:eastAsia="宋体" w:cs="宋体"/>
          <w:kern w:val="2"/>
          <w:sz w:val="21"/>
          <w:szCs w:val="21"/>
          <w:highlight w:val="none"/>
        </w:rPr>
      </w:pPr>
      <w:r>
        <w:rPr>
          <w:rFonts w:hint="eastAsia" w:ascii="宋体" w:hAnsi="宋体" w:eastAsia="宋体" w:cs="宋体"/>
          <w:color w:val="000000"/>
          <w:kern w:val="2"/>
          <w:sz w:val="21"/>
          <w:szCs w:val="21"/>
          <w:highlight w:val="none"/>
        </w:rPr>
        <w:t>（4）、擅自清除绿地内乔灌木（包含枯死乔灌木）</w:t>
      </w:r>
    </w:p>
    <w:p w14:paraId="36A5F394">
      <w:pPr>
        <w:spacing w:line="360" w:lineRule="auto"/>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（5）、出现苗木受损及死亡（包括人为踩踏等），未发现问题或未及时上报、未及时恢复到位的；</w:t>
      </w:r>
    </w:p>
    <w:p w14:paraId="576690AC">
      <w:pPr>
        <w:spacing w:line="360" w:lineRule="auto"/>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（6）、未按甲方要求进行抗旱的；</w:t>
      </w:r>
    </w:p>
    <w:p w14:paraId="1D85D75D">
      <w:pPr>
        <w:spacing w:line="360" w:lineRule="auto"/>
        <w:rPr>
          <w:rFonts w:hint="eastAsia" w:ascii="宋体" w:hAnsi="宋体" w:eastAsia="宋体" w:cs="宋体"/>
          <w:kern w:val="2"/>
          <w:sz w:val="21"/>
          <w:szCs w:val="21"/>
          <w:highlight w:val="none"/>
        </w:rPr>
      </w:pPr>
      <w:r>
        <w:rPr>
          <w:rFonts w:hint="eastAsia" w:ascii="宋体" w:hAnsi="宋体" w:eastAsia="宋体" w:cs="宋体"/>
          <w:color w:val="000000"/>
          <w:kern w:val="2"/>
          <w:sz w:val="21"/>
          <w:szCs w:val="21"/>
          <w:highlight w:val="none"/>
        </w:rPr>
        <w:t>（7）、其他养护问题。</w:t>
      </w:r>
    </w:p>
    <w:p w14:paraId="478448E1">
      <w:pPr>
        <w:numPr>
          <w:ilvl w:val="0"/>
          <w:numId w:val="14"/>
        </w:numPr>
        <w:spacing w:line="360" w:lineRule="auto"/>
        <w:ind w:firstLine="48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造型树木部分片枝部分死亡，影响景观较小的，乙方按5000元/株赔偿甲方；造型树木部分片枝部分死亡影响景观的，由乙方按照甲方要求以品种原规格补植到位或者按照甲方提供的工程造价金额由乙方赔偿甲方，并承担5000元/株违约金；造型树木养护不当造成树木死亡的，由乙方按照甲方要求以原品种原规格补植到位或者按照甲方提供的工程造价金额由乙方赔偿甲方，并承担违约金10000元违约金。</w:t>
      </w:r>
    </w:p>
    <w:p w14:paraId="08EDA75F">
      <w:pPr>
        <w:numPr>
          <w:ilvl w:val="0"/>
          <w:numId w:val="14"/>
        </w:num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甲方发现问题并通过各种方式等通知乙方按期完成，乙方未按期完成的，当月发现一次，核减当月养护款的1%，作为违约金；当月发现二次，核减当月养护款的5%，作为违约金；当月发现三次，甲方有权终止合同，并扣除履约保证金；</w:t>
      </w:r>
    </w:p>
    <w:p w14:paraId="206F5087">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6、上</w:t>
      </w:r>
      <w:r>
        <w:rPr>
          <w:rFonts w:hint="eastAsia" w:ascii="宋体" w:hAnsi="宋体" w:eastAsia="宋体" w:cs="宋体"/>
          <w:color w:val="000000"/>
          <w:kern w:val="2"/>
          <w:sz w:val="21"/>
          <w:szCs w:val="21"/>
          <w:highlight w:val="none"/>
        </w:rPr>
        <w:t>级部门反映的问题（如常州市长效考核）以及其他对甲方产生重大影响的问题，经甲方核定确属乙方责任的，每出现一次，承担违约金10000元。</w:t>
      </w:r>
    </w:p>
    <w:p w14:paraId="465CF5C5">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7、乙方对本区域内归属镇政府的各类设施（包括：园林小品、绿化设施等）进行巡查，乙方上报设施维修和其他问题晚于甲方发现的，乙方应承担违约金500元/次，造成严重不良后果的，每次按5000元进行支付违约金。发现毁绿损绿的乙方必须报甲方并得到现场签证确认，由乙方按甲方要求在规定时间补植到位，并加强养护，确保成活（补植费用含苗木及种植等费用均由乙方承担）。</w:t>
      </w:r>
    </w:p>
    <w:p w14:paraId="7C53C557">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8、甲方提前通知组织开会的，乙方项目负责人迟到（超过15分钟）按1000元/次承担违约金；缺席按2000元/次承担违约金，要求企业负责人出席但缺席的，按5000元/次承担违约金。</w:t>
      </w:r>
    </w:p>
    <w:p w14:paraId="4040F1BC">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9、甲方按照乙方上报的养护人员</w:t>
      </w:r>
      <w:r>
        <w:rPr>
          <w:rFonts w:hint="eastAsia" w:ascii="宋体" w:hAnsi="宋体" w:eastAsia="宋体" w:cs="宋体"/>
          <w:color w:val="000000"/>
          <w:kern w:val="2"/>
          <w:sz w:val="21"/>
          <w:szCs w:val="21"/>
          <w:highlight w:val="none"/>
          <w:lang w:eastAsia="zh-CN"/>
        </w:rPr>
        <w:t>（</w:t>
      </w:r>
      <w:r>
        <w:rPr>
          <w:rFonts w:hint="eastAsia" w:ascii="宋体" w:hAnsi="宋体" w:eastAsia="宋体" w:cs="宋体"/>
          <w:color w:val="000000"/>
          <w:kern w:val="2"/>
          <w:sz w:val="21"/>
          <w:szCs w:val="21"/>
          <w:highlight w:val="none"/>
          <w:lang w:val="en-US" w:eastAsia="zh-CN"/>
        </w:rPr>
        <w:t>必须符合响应文件中的人员要求）</w:t>
      </w:r>
      <w:r>
        <w:rPr>
          <w:rFonts w:hint="eastAsia" w:ascii="宋体" w:hAnsi="宋体" w:eastAsia="宋体" w:cs="宋体"/>
          <w:color w:val="000000"/>
          <w:kern w:val="2"/>
          <w:sz w:val="21"/>
          <w:szCs w:val="21"/>
          <w:highlight w:val="none"/>
        </w:rPr>
        <w:t>明细进行考勤。必须在管养期开始一周后对所有管养人员统一着装便于考核，不按期统一着装的核减当月养护费50元·人/次作为违约金，直至统一着装。如绿地管养人员有事需请假（但该岗位必须有人替换出勤），现场负责人应及时通知甲方并得到许可。（进场养护前必须将人员名单和身份证号报至甲方，后续有调整的及时报备），发现未事先请假并缺勤的，每人次扣当月考核分2分并核减当月养护费5000元作为违约金。考勤人数按中标时的投标清单为准。</w:t>
      </w:r>
    </w:p>
    <w:p w14:paraId="2A501A6F">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考勤为不定期抽查考勤，考勤对象：签订合同时乙方上报的人员名单；具体办法：乙方项目负责人接到甲方考勤通知后，通知被考勤人员15分钟内到甲方指定地点签到考勤。人员不符或迟到10分钟以上的算作缺勤。</w:t>
      </w:r>
    </w:p>
    <w:p w14:paraId="29B44EFC">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若遇养护规模变化，人员核增核减按乙方人均管养规模计算，四舍五入。</w:t>
      </w:r>
    </w:p>
    <w:p w14:paraId="34971987">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乙方项目经理在养护合同期内离开金坛的必须向甲方请假并得到书面批准，在接到甲方通知需要现场督查等工作通知的必须在15分钟内到达现场，迟到10分钟以上的扣5000元违约金、缺席的每次扣10000元违约金、缺席3次以上的终止养护合同并扣全部保证金。乙方项目经理需更换的，必须满足招标时的个人资质要求并得到甲方的允许方可更换，否则按私自变更项目经理处置。</w:t>
      </w:r>
    </w:p>
    <w:p w14:paraId="00985201">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10、乙方在养护过程中的使用的所有车辆必须满足磋商文件的各项要求，经审查合格的车辆设备乙方原则上不能更换，若因特殊原因确需更换的，需报甲方书面同意。如未经甲方书面同意或更换的车辆设备不符合要求的，每发现一次扣除违约金1000元，累计3次及以上的，甲方有权视情况终止合同，同时乙方应按合同价款的2%向甲方支付违约金。</w:t>
      </w:r>
    </w:p>
    <w:p w14:paraId="2EFA2AFC">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11、如遇迎检创建等特殊情况，甲方要求养护单位开展合同外的工作，乙方需无条件服从，否则甲方有权终止合同，并扣除履约保证金。</w:t>
      </w:r>
    </w:p>
    <w:p w14:paraId="5F5433A0">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12、违约金缴纳必须在结算养护款前一次结清，否则不予结算养护款。</w:t>
      </w:r>
    </w:p>
    <w:p w14:paraId="5AC00888">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13、在合同履行到期不再续签或其他情况终止合同的，乙方在撤场前必须按照相关要求做好各类整治工作，超过期限整治未通过甲方验收的，扣全部保证金。</w:t>
      </w:r>
    </w:p>
    <w:p w14:paraId="33E74C7B">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14、本合同未涉及的但与养护工作有关的事宜，乙方均应按甲方要求完成，乙方未按甲方要求完成任务的，每逾期一天按5000元向甲方支付违约金。</w:t>
      </w:r>
    </w:p>
    <w:p w14:paraId="68F5E5A3">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备注：甲方保留对本条款的最终解释权。</w:t>
      </w:r>
    </w:p>
    <w:p w14:paraId="26942EE9">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七、合同变更、顺延或终止</w:t>
      </w:r>
    </w:p>
    <w:p w14:paraId="4B72FD11">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1、若因政府建设需要，甲方提出的绿地养护范围变更的决定，乙方应无条件服从：</w:t>
      </w:r>
    </w:p>
    <w:p w14:paraId="2432CF6A">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管养范围内，新增养护绿地划给乙方养护乙方必须无条件接受（新增养护绿地交管前，绿地整治由甲方负责），其养护费用则按新增绿地的苗木品种、接收养护时间、及该项目内同类型绿地的中标单价核增养护费（同一管理标准和管理类型的项目统一计算养护单价）核算。</w:t>
      </w:r>
    </w:p>
    <w:p w14:paraId="664D560C">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合同期内核增核减的养护费用将按照：最高限价*核增核减数量*（1-让利率）结算。</w:t>
      </w:r>
    </w:p>
    <w:p w14:paraId="4F09C878">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让利率=1-中标养护费/养护费*100%</w:t>
      </w:r>
    </w:p>
    <w:p w14:paraId="0A7D0BAA">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②如因政府建设需要，核减养护面积：</w:t>
      </w:r>
    </w:p>
    <w:p w14:paraId="44D4F095">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核减的面积占该项目面积30%以内，甲方不予任何补偿。</w:t>
      </w:r>
    </w:p>
    <w:p w14:paraId="2A9728DF">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核减的面积超过该项目面积30%以上的，补偿方法如下：</w:t>
      </w:r>
    </w:p>
    <w:p w14:paraId="1C601755">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人工补偿：核减面积时剩余合同养护期不满1年，实际减少面积按总面积除以最低使用人数得到人均管养面积，同时根据当时金坛最低工资标准按一年补偿一个月的标准进行折算。</w:t>
      </w:r>
    </w:p>
    <w:p w14:paraId="22AAA798">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投标成本补偿：以5000元为投标成本的总额，按减少的实际时间和面积进行折算。</w:t>
      </w:r>
    </w:p>
    <w:p w14:paraId="09894BE1">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因养护面积核减后该范围不存在后续的养护工作，故管理费、利润补偿不进行补偿。</w:t>
      </w:r>
    </w:p>
    <w:p w14:paraId="053AF749">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2、有下列情形及上文有相应规定之一的，甲方有权单方终止乙方的管养合同，本年度剩余的养护经费不予结算，并扣全部保证金，同时自合同终止之后十二个月的时间内乙方不得参与甲方的养护投标工作，甲方有权按照常州市绿化养护诚信体系管理的相关要求追究乙方其他责任。</w:t>
      </w:r>
    </w:p>
    <w:p w14:paraId="0E13A195">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①、一个养护年度中，连续两次或累计三次及以上考核低于80分者（不含80分）。</w:t>
      </w:r>
    </w:p>
    <w:p w14:paraId="76F7C8A6">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②、未经甲方书面同意进行转包或私自分包的。</w:t>
      </w:r>
    </w:p>
    <w:p w14:paraId="529CDAB3">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③、未书面函报甲方并获得认可随意更换项目经理的。</w:t>
      </w:r>
    </w:p>
    <w:p w14:paraId="3EBB0989">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④、不定期抽查考勤中，若缺勤人数大于20%的。</w:t>
      </w:r>
    </w:p>
    <w:p w14:paraId="31707074">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⑤、乙方有其他违约情形导致甲方签订合同的目的不能实现的。</w:t>
      </w:r>
    </w:p>
    <w:p w14:paraId="086BDEC7">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若甲方解除合同的条件成就，但在甲方未选择新养护单位前，乙方仍须继续履行原合同直至接到甲方通知正式退场。</w:t>
      </w:r>
    </w:p>
    <w:p w14:paraId="073117F1">
      <w:pPr>
        <w:spacing w:line="360" w:lineRule="auto"/>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3、乙方在合同期间无能力继续履行合同，乙方向甲方提出终止合同的书面要求，经甲方认可并报主管部门同意后合同终止，除甲方扣除全部保证金外，乙方还应承担合同价款20%的违约金。</w:t>
      </w:r>
    </w:p>
    <w:p w14:paraId="63AF7262">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八、合同签订</w:t>
      </w:r>
    </w:p>
    <w:p w14:paraId="4864A425">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1.合同订立时间：20</w:t>
      </w:r>
      <w:r>
        <w:rPr>
          <w:rFonts w:hint="eastAsia" w:ascii="宋体" w:hAnsi="宋体" w:eastAsia="宋体" w:cs="宋体"/>
          <w:kern w:val="2"/>
          <w:sz w:val="21"/>
          <w:szCs w:val="21"/>
          <w:highlight w:val="none"/>
          <w:u w:val="single"/>
        </w:rPr>
        <w:t xml:space="preserve">     </w:t>
      </w:r>
      <w:r>
        <w:rPr>
          <w:rFonts w:hint="eastAsia" w:ascii="宋体" w:hAnsi="宋体" w:eastAsia="宋体" w:cs="宋体"/>
          <w:kern w:val="2"/>
          <w:sz w:val="21"/>
          <w:szCs w:val="21"/>
          <w:highlight w:val="none"/>
        </w:rPr>
        <w:t>年</w:t>
      </w:r>
      <w:r>
        <w:rPr>
          <w:rFonts w:hint="eastAsia" w:ascii="宋体" w:hAnsi="宋体" w:eastAsia="宋体" w:cs="宋体"/>
          <w:kern w:val="2"/>
          <w:sz w:val="21"/>
          <w:szCs w:val="21"/>
          <w:highlight w:val="none"/>
          <w:u w:val="single"/>
        </w:rPr>
        <w:t xml:space="preserve">   </w:t>
      </w:r>
      <w:r>
        <w:rPr>
          <w:rFonts w:hint="eastAsia" w:ascii="宋体" w:hAnsi="宋体" w:eastAsia="宋体" w:cs="宋体"/>
          <w:kern w:val="2"/>
          <w:sz w:val="21"/>
          <w:szCs w:val="21"/>
          <w:highlight w:val="none"/>
        </w:rPr>
        <w:t xml:space="preserve"> 月</w:t>
      </w:r>
      <w:r>
        <w:rPr>
          <w:rFonts w:hint="eastAsia" w:ascii="宋体" w:hAnsi="宋体" w:eastAsia="宋体" w:cs="宋体"/>
          <w:kern w:val="2"/>
          <w:sz w:val="21"/>
          <w:szCs w:val="21"/>
          <w:highlight w:val="none"/>
          <w:u w:val="single"/>
        </w:rPr>
        <w:t xml:space="preserve">    </w:t>
      </w:r>
      <w:r>
        <w:rPr>
          <w:rFonts w:hint="eastAsia" w:ascii="宋体" w:hAnsi="宋体" w:eastAsia="宋体" w:cs="宋体"/>
          <w:kern w:val="2"/>
          <w:sz w:val="21"/>
          <w:szCs w:val="21"/>
          <w:highlight w:val="none"/>
        </w:rPr>
        <w:t>日</w:t>
      </w:r>
    </w:p>
    <w:p w14:paraId="2EF68B86">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2.合同订立地点：</w:t>
      </w:r>
      <w:r>
        <w:rPr>
          <w:rFonts w:hint="eastAsia" w:ascii="宋体" w:hAnsi="宋体" w:eastAsia="宋体" w:cs="宋体"/>
          <w:kern w:val="2"/>
          <w:sz w:val="21"/>
          <w:szCs w:val="21"/>
          <w:highlight w:val="none"/>
          <w:u w:val="single"/>
        </w:rPr>
        <w:t xml:space="preserve">                     </w:t>
      </w:r>
      <w:r>
        <w:rPr>
          <w:rFonts w:hint="eastAsia" w:ascii="宋体" w:hAnsi="宋体" w:eastAsia="宋体" w:cs="宋体"/>
          <w:kern w:val="2"/>
          <w:sz w:val="21"/>
          <w:szCs w:val="21"/>
          <w:highlight w:val="none"/>
        </w:rPr>
        <w:t xml:space="preserve">    </w:t>
      </w:r>
    </w:p>
    <w:p w14:paraId="796793D0">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3.本合同经双方签字盖章</w:t>
      </w:r>
      <w:r>
        <w:rPr>
          <w:rFonts w:hint="eastAsia" w:ascii="宋体" w:hAnsi="宋体" w:eastAsia="宋体" w:cs="宋体"/>
          <w:kern w:val="2"/>
          <w:sz w:val="21"/>
          <w:szCs w:val="21"/>
          <w:highlight w:val="none"/>
          <w:lang w:val="en-US" w:eastAsia="zh-CN"/>
        </w:rPr>
        <w:t>后生效，</w:t>
      </w:r>
      <w:r>
        <w:rPr>
          <w:rFonts w:hint="eastAsia" w:ascii="宋体" w:hAnsi="宋体" w:eastAsia="宋体" w:cs="宋体"/>
          <w:kern w:val="2"/>
          <w:sz w:val="21"/>
          <w:szCs w:val="21"/>
          <w:highlight w:val="none"/>
        </w:rPr>
        <w:t>一式</w:t>
      </w:r>
      <w:r>
        <w:rPr>
          <w:rFonts w:hint="eastAsia" w:ascii="宋体" w:hAnsi="宋体" w:eastAsia="宋体" w:cs="宋体"/>
          <w:kern w:val="2"/>
          <w:sz w:val="21"/>
          <w:szCs w:val="21"/>
          <w:highlight w:val="none"/>
          <w:u w:val="single"/>
        </w:rPr>
        <w:t xml:space="preserve">  </w:t>
      </w:r>
      <w:r>
        <w:rPr>
          <w:rFonts w:hint="eastAsia" w:ascii="宋体" w:hAnsi="宋体" w:eastAsia="宋体" w:cs="宋体"/>
          <w:kern w:val="2"/>
          <w:sz w:val="21"/>
          <w:szCs w:val="21"/>
          <w:highlight w:val="none"/>
        </w:rPr>
        <w:t>份，甲方</w:t>
      </w:r>
      <w:r>
        <w:rPr>
          <w:rFonts w:hint="eastAsia" w:ascii="宋体" w:hAnsi="宋体" w:eastAsia="宋体" w:cs="宋体"/>
          <w:kern w:val="2"/>
          <w:sz w:val="21"/>
          <w:szCs w:val="21"/>
          <w:highlight w:val="none"/>
          <w:u w:val="single"/>
        </w:rPr>
        <w:t xml:space="preserve">  </w:t>
      </w:r>
      <w:r>
        <w:rPr>
          <w:rFonts w:hint="eastAsia" w:ascii="宋体" w:hAnsi="宋体" w:eastAsia="宋体" w:cs="宋体"/>
          <w:kern w:val="2"/>
          <w:sz w:val="21"/>
          <w:szCs w:val="21"/>
          <w:highlight w:val="none"/>
        </w:rPr>
        <w:t>份、乙方</w:t>
      </w:r>
      <w:r>
        <w:rPr>
          <w:rFonts w:hint="eastAsia" w:ascii="宋体" w:hAnsi="宋体" w:eastAsia="宋体" w:cs="宋体"/>
          <w:kern w:val="2"/>
          <w:sz w:val="21"/>
          <w:szCs w:val="21"/>
          <w:highlight w:val="none"/>
          <w:u w:val="single"/>
        </w:rPr>
        <w:t xml:space="preserve">  </w:t>
      </w:r>
      <w:r>
        <w:rPr>
          <w:rFonts w:hint="eastAsia" w:ascii="宋体" w:hAnsi="宋体" w:eastAsia="宋体" w:cs="宋体"/>
          <w:kern w:val="2"/>
          <w:sz w:val="21"/>
          <w:szCs w:val="21"/>
          <w:highlight w:val="none"/>
        </w:rPr>
        <w:t>份，具有同等法律效力。</w:t>
      </w:r>
    </w:p>
    <w:p w14:paraId="72F00878">
      <w:pPr>
        <w:spacing w:line="360" w:lineRule="auto"/>
        <w:ind w:firstLine="420" w:firstLineChars="200"/>
        <w:rPr>
          <w:rFonts w:hint="eastAsia" w:ascii="宋体" w:hAnsi="宋体" w:eastAsia="宋体" w:cs="宋体"/>
          <w:kern w:val="2"/>
          <w:sz w:val="21"/>
          <w:szCs w:val="21"/>
          <w:highlight w:val="none"/>
        </w:rPr>
      </w:pPr>
    </w:p>
    <w:p w14:paraId="0C2C6D16">
      <w:pPr>
        <w:spacing w:line="360" w:lineRule="auto"/>
        <w:ind w:firstLine="420" w:firstLineChars="200"/>
        <w:rPr>
          <w:rFonts w:hint="eastAsia" w:ascii="宋体" w:hAnsi="宋体" w:eastAsia="宋体" w:cs="宋体"/>
          <w:kern w:val="0"/>
          <w:sz w:val="21"/>
          <w:szCs w:val="21"/>
          <w:highlight w:val="none"/>
        </w:rPr>
      </w:pPr>
    </w:p>
    <w:tbl>
      <w:tblPr>
        <w:tblStyle w:val="30"/>
        <w:tblpPr w:leftFromText="180" w:rightFromText="180" w:vertAnchor="text" w:horzAnchor="page" w:tblpX="1677" w:tblpY="140"/>
        <w:tblOverlap w:val="never"/>
        <w:tblW w:w="0" w:type="auto"/>
        <w:tblInd w:w="0" w:type="dxa"/>
        <w:tblLayout w:type="fixed"/>
        <w:tblCellMar>
          <w:top w:w="0" w:type="dxa"/>
          <w:left w:w="108" w:type="dxa"/>
          <w:bottom w:w="0" w:type="dxa"/>
          <w:right w:w="108" w:type="dxa"/>
        </w:tblCellMar>
      </w:tblPr>
      <w:tblGrid>
        <w:gridCol w:w="4252"/>
        <w:gridCol w:w="292"/>
        <w:gridCol w:w="4674"/>
      </w:tblGrid>
      <w:tr w14:paraId="62162AE5">
        <w:tblPrEx>
          <w:tblCellMar>
            <w:top w:w="0" w:type="dxa"/>
            <w:left w:w="108" w:type="dxa"/>
            <w:bottom w:w="0" w:type="dxa"/>
            <w:right w:w="108" w:type="dxa"/>
          </w:tblCellMar>
        </w:tblPrEx>
        <w:trPr>
          <w:trHeight w:val="271" w:hRule="atLeast"/>
        </w:trPr>
        <w:tc>
          <w:tcPr>
            <w:tcW w:w="4252" w:type="dxa"/>
            <w:noWrap w:val="0"/>
            <w:vAlign w:val="top"/>
          </w:tcPr>
          <w:p w14:paraId="31C6A7FA">
            <w:pPr>
              <w:spacing w:line="360" w:lineRule="auto"/>
              <w:rPr>
                <w:rFonts w:hint="eastAsia" w:ascii="宋体" w:hAnsi="宋体" w:eastAsia="宋体" w:cs="宋体"/>
                <w:bCs/>
                <w:kern w:val="2"/>
                <w:sz w:val="21"/>
                <w:szCs w:val="21"/>
                <w:highlight w:val="none"/>
                <w:u w:val="single"/>
              </w:rPr>
            </w:pPr>
            <w:r>
              <w:rPr>
                <w:rFonts w:hint="eastAsia" w:ascii="宋体" w:hAnsi="宋体" w:eastAsia="宋体" w:cs="宋体"/>
                <w:bCs/>
                <w:kern w:val="2"/>
                <w:sz w:val="21"/>
                <w:szCs w:val="21"/>
                <w:highlight w:val="none"/>
              </w:rPr>
              <w:t>甲方（采购人）：</w:t>
            </w:r>
            <w:r>
              <w:rPr>
                <w:rFonts w:hint="eastAsia" w:ascii="宋体" w:hAnsi="宋体" w:eastAsia="宋体" w:cs="宋体"/>
                <w:bCs/>
                <w:kern w:val="2"/>
                <w:sz w:val="21"/>
                <w:szCs w:val="21"/>
                <w:highlight w:val="none"/>
                <w:u w:val="single"/>
              </w:rPr>
              <w:t xml:space="preserve">    　        </w:t>
            </w:r>
            <w:r>
              <w:rPr>
                <w:rFonts w:hint="eastAsia" w:ascii="宋体" w:hAnsi="宋体" w:eastAsia="宋体" w:cs="宋体"/>
                <w:bCs/>
                <w:kern w:val="2"/>
                <w:sz w:val="21"/>
                <w:szCs w:val="21"/>
                <w:highlight w:val="none"/>
              </w:rPr>
              <w:t>（盖章）</w:t>
            </w:r>
          </w:p>
        </w:tc>
        <w:tc>
          <w:tcPr>
            <w:tcW w:w="292" w:type="dxa"/>
            <w:noWrap w:val="0"/>
            <w:vAlign w:val="top"/>
          </w:tcPr>
          <w:p w14:paraId="0A4BD6D6">
            <w:pPr>
              <w:spacing w:line="360" w:lineRule="auto"/>
              <w:rPr>
                <w:rFonts w:hint="eastAsia" w:ascii="宋体" w:hAnsi="宋体" w:eastAsia="宋体" w:cs="宋体"/>
                <w:kern w:val="2"/>
                <w:sz w:val="21"/>
                <w:szCs w:val="21"/>
                <w:highlight w:val="none"/>
              </w:rPr>
            </w:pPr>
          </w:p>
        </w:tc>
        <w:tc>
          <w:tcPr>
            <w:tcW w:w="4674" w:type="dxa"/>
            <w:noWrap w:val="0"/>
            <w:vAlign w:val="top"/>
          </w:tcPr>
          <w:p w14:paraId="7CA3B325">
            <w:pPr>
              <w:spacing w:line="360" w:lineRule="auto"/>
              <w:ind w:firstLine="105" w:firstLineChars="50"/>
              <w:rPr>
                <w:rFonts w:hint="eastAsia" w:ascii="宋体" w:hAnsi="宋体" w:eastAsia="宋体" w:cs="宋体"/>
                <w:kern w:val="2"/>
                <w:sz w:val="21"/>
                <w:szCs w:val="21"/>
                <w:highlight w:val="none"/>
              </w:rPr>
            </w:pPr>
            <w:r>
              <w:rPr>
                <w:rFonts w:hint="eastAsia" w:ascii="宋体" w:hAnsi="宋体" w:eastAsia="宋体" w:cs="宋体"/>
                <w:bCs/>
                <w:kern w:val="2"/>
                <w:sz w:val="21"/>
                <w:szCs w:val="21"/>
                <w:highlight w:val="none"/>
              </w:rPr>
              <w:t>乙方（供应商）：</w:t>
            </w:r>
            <w:r>
              <w:rPr>
                <w:rFonts w:hint="eastAsia" w:ascii="宋体" w:hAnsi="宋体" w:eastAsia="宋体" w:cs="宋体"/>
                <w:bCs/>
                <w:kern w:val="2"/>
                <w:sz w:val="21"/>
                <w:szCs w:val="21"/>
                <w:highlight w:val="none"/>
                <w:u w:val="single"/>
              </w:rPr>
              <w:t xml:space="preserve">              </w:t>
            </w:r>
            <w:r>
              <w:rPr>
                <w:rFonts w:hint="eastAsia" w:ascii="宋体" w:hAnsi="宋体" w:eastAsia="宋体" w:cs="宋体"/>
                <w:bCs/>
                <w:kern w:val="2"/>
                <w:sz w:val="21"/>
                <w:szCs w:val="21"/>
                <w:highlight w:val="none"/>
              </w:rPr>
              <w:t>（盖章）</w:t>
            </w:r>
          </w:p>
        </w:tc>
      </w:tr>
      <w:tr w14:paraId="1A7416BD">
        <w:tblPrEx>
          <w:tblCellMar>
            <w:top w:w="0" w:type="dxa"/>
            <w:left w:w="108" w:type="dxa"/>
            <w:bottom w:w="0" w:type="dxa"/>
            <w:right w:w="108" w:type="dxa"/>
          </w:tblCellMar>
        </w:tblPrEx>
        <w:trPr>
          <w:trHeight w:val="271" w:hRule="atLeast"/>
        </w:trPr>
        <w:tc>
          <w:tcPr>
            <w:tcW w:w="4252" w:type="dxa"/>
            <w:noWrap w:val="0"/>
            <w:vAlign w:val="top"/>
          </w:tcPr>
          <w:p w14:paraId="0E22FE10">
            <w:pPr>
              <w:spacing w:line="360" w:lineRule="auto"/>
              <w:rPr>
                <w:rFonts w:hint="eastAsia" w:ascii="宋体" w:hAnsi="宋体" w:eastAsia="宋体" w:cs="宋体"/>
                <w:kern w:val="2"/>
                <w:sz w:val="21"/>
                <w:szCs w:val="21"/>
                <w:highlight w:val="none"/>
              </w:rPr>
            </w:pPr>
            <w:r>
              <w:rPr>
                <w:rFonts w:hint="eastAsia" w:ascii="宋体" w:hAnsi="宋体" w:eastAsia="宋体" w:cs="宋体"/>
                <w:bCs/>
                <w:kern w:val="2"/>
                <w:sz w:val="21"/>
                <w:szCs w:val="21"/>
                <w:highlight w:val="none"/>
              </w:rPr>
              <w:t>地址：</w:t>
            </w:r>
            <w:r>
              <w:rPr>
                <w:rFonts w:hint="eastAsia" w:ascii="宋体" w:hAnsi="宋体" w:eastAsia="宋体" w:cs="宋体"/>
                <w:bCs/>
                <w:kern w:val="2"/>
                <w:sz w:val="21"/>
                <w:szCs w:val="21"/>
                <w:highlight w:val="none"/>
                <w:u w:val="single"/>
              </w:rPr>
              <w:t xml:space="preserve">                              </w:t>
            </w:r>
          </w:p>
        </w:tc>
        <w:tc>
          <w:tcPr>
            <w:tcW w:w="292" w:type="dxa"/>
            <w:noWrap w:val="0"/>
            <w:vAlign w:val="top"/>
          </w:tcPr>
          <w:p w14:paraId="7791B4A1">
            <w:pPr>
              <w:spacing w:line="360" w:lineRule="auto"/>
              <w:rPr>
                <w:rFonts w:hint="eastAsia" w:ascii="宋体" w:hAnsi="宋体" w:eastAsia="宋体" w:cs="宋体"/>
                <w:kern w:val="2"/>
                <w:sz w:val="21"/>
                <w:szCs w:val="21"/>
                <w:highlight w:val="none"/>
              </w:rPr>
            </w:pPr>
          </w:p>
        </w:tc>
        <w:tc>
          <w:tcPr>
            <w:tcW w:w="4674" w:type="dxa"/>
            <w:noWrap w:val="0"/>
            <w:vAlign w:val="top"/>
          </w:tcPr>
          <w:p w14:paraId="5502CA69">
            <w:pPr>
              <w:spacing w:line="360" w:lineRule="auto"/>
              <w:ind w:firstLine="105" w:firstLineChars="50"/>
              <w:rPr>
                <w:rFonts w:hint="eastAsia" w:ascii="宋体" w:hAnsi="宋体" w:eastAsia="宋体" w:cs="宋体"/>
                <w:kern w:val="2"/>
                <w:sz w:val="21"/>
                <w:szCs w:val="21"/>
                <w:highlight w:val="none"/>
              </w:rPr>
            </w:pPr>
            <w:r>
              <w:rPr>
                <w:rFonts w:hint="eastAsia" w:ascii="宋体" w:hAnsi="宋体" w:eastAsia="宋体" w:cs="宋体"/>
                <w:bCs/>
                <w:kern w:val="2"/>
                <w:sz w:val="21"/>
                <w:szCs w:val="21"/>
                <w:highlight w:val="none"/>
              </w:rPr>
              <w:t>地址：</w:t>
            </w:r>
            <w:r>
              <w:rPr>
                <w:rFonts w:hint="eastAsia" w:ascii="宋体" w:hAnsi="宋体" w:eastAsia="宋体" w:cs="宋体"/>
                <w:bCs/>
                <w:kern w:val="2"/>
                <w:sz w:val="21"/>
                <w:szCs w:val="21"/>
                <w:highlight w:val="none"/>
                <w:u w:val="single"/>
              </w:rPr>
              <w:t xml:space="preserve">                              </w:t>
            </w:r>
          </w:p>
        </w:tc>
      </w:tr>
      <w:tr w14:paraId="3B2FD7CB">
        <w:tblPrEx>
          <w:tblCellMar>
            <w:top w:w="0" w:type="dxa"/>
            <w:left w:w="108" w:type="dxa"/>
            <w:bottom w:w="0" w:type="dxa"/>
            <w:right w:w="108" w:type="dxa"/>
          </w:tblCellMar>
        </w:tblPrEx>
        <w:trPr>
          <w:trHeight w:val="271" w:hRule="atLeast"/>
        </w:trPr>
        <w:tc>
          <w:tcPr>
            <w:tcW w:w="4252" w:type="dxa"/>
            <w:noWrap w:val="0"/>
            <w:vAlign w:val="top"/>
          </w:tcPr>
          <w:p w14:paraId="562B7047">
            <w:pPr>
              <w:spacing w:line="360" w:lineRule="auto"/>
              <w:rPr>
                <w:rFonts w:hint="eastAsia" w:ascii="宋体" w:hAnsi="宋体" w:eastAsia="宋体" w:cs="宋体"/>
                <w:kern w:val="2"/>
                <w:sz w:val="21"/>
                <w:szCs w:val="21"/>
                <w:highlight w:val="none"/>
              </w:rPr>
            </w:pPr>
            <w:r>
              <w:rPr>
                <w:rFonts w:hint="eastAsia" w:ascii="宋体" w:hAnsi="宋体" w:eastAsia="宋体" w:cs="宋体"/>
                <w:bCs/>
                <w:kern w:val="2"/>
                <w:sz w:val="21"/>
                <w:szCs w:val="21"/>
                <w:highlight w:val="none"/>
              </w:rPr>
              <w:t>法定（授权）代表人：</w:t>
            </w:r>
            <w:r>
              <w:rPr>
                <w:rFonts w:hint="eastAsia" w:ascii="宋体" w:hAnsi="宋体" w:eastAsia="宋体" w:cs="宋体"/>
                <w:bCs/>
                <w:kern w:val="2"/>
                <w:sz w:val="21"/>
                <w:szCs w:val="21"/>
                <w:highlight w:val="none"/>
                <w:u w:val="single"/>
              </w:rPr>
              <w:t xml:space="preserve">                </w:t>
            </w:r>
          </w:p>
        </w:tc>
        <w:tc>
          <w:tcPr>
            <w:tcW w:w="292" w:type="dxa"/>
            <w:noWrap w:val="0"/>
            <w:vAlign w:val="top"/>
          </w:tcPr>
          <w:p w14:paraId="5A0E10EB">
            <w:pPr>
              <w:spacing w:line="360" w:lineRule="auto"/>
              <w:rPr>
                <w:rFonts w:hint="eastAsia" w:ascii="宋体" w:hAnsi="宋体" w:eastAsia="宋体" w:cs="宋体"/>
                <w:kern w:val="2"/>
                <w:sz w:val="21"/>
                <w:szCs w:val="21"/>
                <w:highlight w:val="none"/>
              </w:rPr>
            </w:pPr>
          </w:p>
        </w:tc>
        <w:tc>
          <w:tcPr>
            <w:tcW w:w="4674" w:type="dxa"/>
            <w:noWrap w:val="0"/>
            <w:vAlign w:val="top"/>
          </w:tcPr>
          <w:p w14:paraId="132F59F3">
            <w:pPr>
              <w:spacing w:line="360" w:lineRule="auto"/>
              <w:ind w:firstLine="105" w:firstLineChars="50"/>
              <w:rPr>
                <w:rFonts w:hint="eastAsia" w:ascii="宋体" w:hAnsi="宋体" w:eastAsia="宋体" w:cs="宋体"/>
                <w:kern w:val="2"/>
                <w:sz w:val="21"/>
                <w:szCs w:val="21"/>
                <w:highlight w:val="none"/>
              </w:rPr>
            </w:pPr>
            <w:r>
              <w:rPr>
                <w:rFonts w:hint="eastAsia" w:ascii="宋体" w:hAnsi="宋体" w:eastAsia="宋体" w:cs="宋体"/>
                <w:bCs/>
                <w:kern w:val="2"/>
                <w:sz w:val="21"/>
                <w:szCs w:val="21"/>
                <w:highlight w:val="none"/>
              </w:rPr>
              <w:t>法定（授权）代表人：</w:t>
            </w:r>
            <w:r>
              <w:rPr>
                <w:rFonts w:hint="eastAsia" w:ascii="宋体" w:hAnsi="宋体" w:eastAsia="宋体" w:cs="宋体"/>
                <w:bCs/>
                <w:kern w:val="2"/>
                <w:sz w:val="21"/>
                <w:szCs w:val="21"/>
                <w:highlight w:val="none"/>
                <w:u w:val="single"/>
              </w:rPr>
              <w:t xml:space="preserve">                </w:t>
            </w:r>
          </w:p>
        </w:tc>
      </w:tr>
      <w:tr w14:paraId="04669B45">
        <w:tblPrEx>
          <w:tblCellMar>
            <w:top w:w="0" w:type="dxa"/>
            <w:left w:w="108" w:type="dxa"/>
            <w:bottom w:w="0" w:type="dxa"/>
            <w:right w:w="108" w:type="dxa"/>
          </w:tblCellMar>
        </w:tblPrEx>
        <w:trPr>
          <w:trHeight w:val="271" w:hRule="atLeast"/>
        </w:trPr>
        <w:tc>
          <w:tcPr>
            <w:tcW w:w="4252" w:type="dxa"/>
            <w:noWrap w:val="0"/>
            <w:vAlign w:val="top"/>
          </w:tcPr>
          <w:p w14:paraId="1932DAF1">
            <w:pPr>
              <w:spacing w:line="360" w:lineRule="auto"/>
              <w:jc w:val="right"/>
              <w:rPr>
                <w:rFonts w:hint="eastAsia" w:ascii="宋体" w:hAnsi="宋体" w:eastAsia="宋体" w:cs="宋体"/>
                <w:kern w:val="2"/>
                <w:sz w:val="21"/>
                <w:szCs w:val="21"/>
                <w:highlight w:val="none"/>
              </w:rPr>
            </w:pPr>
            <w:r>
              <w:rPr>
                <w:rFonts w:hint="eastAsia" w:ascii="宋体" w:hAnsi="宋体" w:eastAsia="宋体" w:cs="宋体"/>
                <w:bCs/>
                <w:kern w:val="2"/>
                <w:sz w:val="21"/>
                <w:szCs w:val="21"/>
                <w:highlight w:val="none"/>
                <w:u w:val="single"/>
              </w:rPr>
              <w:t>　　　　　</w:t>
            </w:r>
            <w:r>
              <w:rPr>
                <w:rFonts w:hint="eastAsia" w:ascii="宋体" w:hAnsi="宋体" w:eastAsia="宋体" w:cs="宋体"/>
                <w:bCs/>
                <w:kern w:val="2"/>
                <w:sz w:val="21"/>
                <w:szCs w:val="21"/>
                <w:highlight w:val="none"/>
              </w:rPr>
              <w:t>年</w:t>
            </w:r>
            <w:r>
              <w:rPr>
                <w:rFonts w:hint="eastAsia" w:ascii="宋体" w:hAnsi="宋体" w:eastAsia="宋体" w:cs="宋体"/>
                <w:bCs/>
                <w:kern w:val="2"/>
                <w:sz w:val="21"/>
                <w:szCs w:val="21"/>
                <w:highlight w:val="none"/>
                <w:u w:val="single"/>
              </w:rPr>
              <w:t>　　　</w:t>
            </w:r>
            <w:r>
              <w:rPr>
                <w:rFonts w:hint="eastAsia" w:ascii="宋体" w:hAnsi="宋体" w:eastAsia="宋体" w:cs="宋体"/>
                <w:bCs/>
                <w:kern w:val="2"/>
                <w:sz w:val="21"/>
                <w:szCs w:val="21"/>
                <w:highlight w:val="none"/>
              </w:rPr>
              <w:t>月</w:t>
            </w:r>
            <w:r>
              <w:rPr>
                <w:rFonts w:hint="eastAsia" w:ascii="宋体" w:hAnsi="宋体" w:eastAsia="宋体" w:cs="宋体"/>
                <w:bCs/>
                <w:kern w:val="2"/>
                <w:sz w:val="21"/>
                <w:szCs w:val="21"/>
                <w:highlight w:val="none"/>
                <w:u w:val="single"/>
              </w:rPr>
              <w:t>　　　</w:t>
            </w:r>
            <w:r>
              <w:rPr>
                <w:rFonts w:hint="eastAsia" w:ascii="宋体" w:hAnsi="宋体" w:eastAsia="宋体" w:cs="宋体"/>
                <w:bCs/>
                <w:kern w:val="2"/>
                <w:sz w:val="21"/>
                <w:szCs w:val="21"/>
                <w:highlight w:val="none"/>
              </w:rPr>
              <w:t>日</w:t>
            </w:r>
          </w:p>
        </w:tc>
        <w:tc>
          <w:tcPr>
            <w:tcW w:w="292" w:type="dxa"/>
            <w:noWrap w:val="0"/>
            <w:vAlign w:val="top"/>
          </w:tcPr>
          <w:p w14:paraId="465A8819">
            <w:pPr>
              <w:spacing w:line="360" w:lineRule="auto"/>
              <w:rPr>
                <w:rFonts w:hint="eastAsia" w:ascii="宋体" w:hAnsi="宋体" w:eastAsia="宋体" w:cs="宋体"/>
                <w:kern w:val="2"/>
                <w:sz w:val="21"/>
                <w:szCs w:val="21"/>
                <w:highlight w:val="none"/>
              </w:rPr>
            </w:pPr>
          </w:p>
        </w:tc>
        <w:tc>
          <w:tcPr>
            <w:tcW w:w="4674" w:type="dxa"/>
            <w:noWrap w:val="0"/>
            <w:vAlign w:val="top"/>
          </w:tcPr>
          <w:p w14:paraId="7B870A54">
            <w:pPr>
              <w:spacing w:line="360" w:lineRule="auto"/>
              <w:jc w:val="right"/>
              <w:rPr>
                <w:rFonts w:hint="eastAsia" w:ascii="宋体" w:hAnsi="宋体" w:eastAsia="宋体" w:cs="宋体"/>
                <w:kern w:val="2"/>
                <w:sz w:val="21"/>
                <w:szCs w:val="21"/>
                <w:highlight w:val="none"/>
              </w:rPr>
            </w:pPr>
            <w:r>
              <w:rPr>
                <w:rFonts w:hint="eastAsia" w:ascii="宋体" w:hAnsi="宋体" w:eastAsia="宋体" w:cs="宋体"/>
                <w:bCs/>
                <w:kern w:val="2"/>
                <w:sz w:val="21"/>
                <w:szCs w:val="21"/>
                <w:highlight w:val="none"/>
                <w:u w:val="single"/>
              </w:rPr>
              <w:t>　　　　　</w:t>
            </w:r>
            <w:r>
              <w:rPr>
                <w:rFonts w:hint="eastAsia" w:ascii="宋体" w:hAnsi="宋体" w:eastAsia="宋体" w:cs="宋体"/>
                <w:bCs/>
                <w:kern w:val="2"/>
                <w:sz w:val="21"/>
                <w:szCs w:val="21"/>
                <w:highlight w:val="none"/>
              </w:rPr>
              <w:t>年</w:t>
            </w:r>
            <w:r>
              <w:rPr>
                <w:rFonts w:hint="eastAsia" w:ascii="宋体" w:hAnsi="宋体" w:eastAsia="宋体" w:cs="宋体"/>
                <w:bCs/>
                <w:kern w:val="2"/>
                <w:sz w:val="21"/>
                <w:szCs w:val="21"/>
                <w:highlight w:val="none"/>
                <w:u w:val="single"/>
              </w:rPr>
              <w:t>　　　</w:t>
            </w:r>
            <w:r>
              <w:rPr>
                <w:rFonts w:hint="eastAsia" w:ascii="宋体" w:hAnsi="宋体" w:eastAsia="宋体" w:cs="宋体"/>
                <w:bCs/>
                <w:kern w:val="2"/>
                <w:sz w:val="21"/>
                <w:szCs w:val="21"/>
                <w:highlight w:val="none"/>
              </w:rPr>
              <w:t>月</w:t>
            </w:r>
            <w:r>
              <w:rPr>
                <w:rFonts w:hint="eastAsia" w:ascii="宋体" w:hAnsi="宋体" w:eastAsia="宋体" w:cs="宋体"/>
                <w:bCs/>
                <w:kern w:val="2"/>
                <w:sz w:val="21"/>
                <w:szCs w:val="21"/>
                <w:highlight w:val="none"/>
                <w:u w:val="single"/>
              </w:rPr>
              <w:t>　　　</w:t>
            </w:r>
            <w:r>
              <w:rPr>
                <w:rFonts w:hint="eastAsia" w:ascii="宋体" w:hAnsi="宋体" w:eastAsia="宋体" w:cs="宋体"/>
                <w:bCs/>
                <w:kern w:val="2"/>
                <w:sz w:val="21"/>
                <w:szCs w:val="21"/>
                <w:highlight w:val="none"/>
              </w:rPr>
              <w:t>日</w:t>
            </w:r>
          </w:p>
        </w:tc>
      </w:tr>
      <w:tr w14:paraId="24B0960E">
        <w:tblPrEx>
          <w:tblCellMar>
            <w:top w:w="0" w:type="dxa"/>
            <w:left w:w="108" w:type="dxa"/>
            <w:bottom w:w="0" w:type="dxa"/>
            <w:right w:w="108" w:type="dxa"/>
          </w:tblCellMar>
        </w:tblPrEx>
        <w:trPr>
          <w:trHeight w:val="271" w:hRule="atLeast"/>
        </w:trPr>
        <w:tc>
          <w:tcPr>
            <w:tcW w:w="4252" w:type="dxa"/>
            <w:noWrap w:val="0"/>
            <w:vAlign w:val="top"/>
          </w:tcPr>
          <w:p w14:paraId="64EAB0B0">
            <w:pPr>
              <w:spacing w:line="360" w:lineRule="auto"/>
              <w:rPr>
                <w:rFonts w:hint="eastAsia" w:ascii="宋体" w:hAnsi="宋体" w:eastAsia="宋体" w:cs="宋体"/>
                <w:kern w:val="2"/>
                <w:sz w:val="21"/>
                <w:szCs w:val="21"/>
                <w:highlight w:val="none"/>
              </w:rPr>
            </w:pPr>
          </w:p>
        </w:tc>
        <w:tc>
          <w:tcPr>
            <w:tcW w:w="292" w:type="dxa"/>
            <w:noWrap w:val="0"/>
            <w:vAlign w:val="top"/>
          </w:tcPr>
          <w:p w14:paraId="1F9DE168">
            <w:pPr>
              <w:spacing w:line="360" w:lineRule="auto"/>
              <w:rPr>
                <w:rFonts w:hint="eastAsia" w:ascii="宋体" w:hAnsi="宋体" w:eastAsia="宋体" w:cs="宋体"/>
                <w:kern w:val="2"/>
                <w:sz w:val="21"/>
                <w:szCs w:val="21"/>
                <w:highlight w:val="none"/>
              </w:rPr>
            </w:pPr>
          </w:p>
        </w:tc>
        <w:tc>
          <w:tcPr>
            <w:tcW w:w="4674" w:type="dxa"/>
            <w:noWrap w:val="0"/>
            <w:vAlign w:val="top"/>
          </w:tcPr>
          <w:p w14:paraId="0B793EA4">
            <w:pPr>
              <w:spacing w:line="360" w:lineRule="auto"/>
              <w:rPr>
                <w:rFonts w:hint="eastAsia" w:ascii="宋体" w:hAnsi="宋体" w:eastAsia="宋体" w:cs="宋体"/>
                <w:kern w:val="2"/>
                <w:sz w:val="21"/>
                <w:szCs w:val="21"/>
                <w:highlight w:val="none"/>
              </w:rPr>
            </w:pPr>
          </w:p>
        </w:tc>
      </w:tr>
      <w:tr w14:paraId="2FF6C281">
        <w:tblPrEx>
          <w:tblCellMar>
            <w:top w:w="0" w:type="dxa"/>
            <w:left w:w="108" w:type="dxa"/>
            <w:bottom w:w="0" w:type="dxa"/>
            <w:right w:w="108" w:type="dxa"/>
          </w:tblCellMar>
        </w:tblPrEx>
        <w:trPr>
          <w:trHeight w:val="271" w:hRule="atLeast"/>
        </w:trPr>
        <w:tc>
          <w:tcPr>
            <w:tcW w:w="4252" w:type="dxa"/>
            <w:noWrap w:val="0"/>
            <w:vAlign w:val="top"/>
          </w:tcPr>
          <w:p w14:paraId="28E7AE81">
            <w:pPr>
              <w:spacing w:line="360" w:lineRule="auto"/>
              <w:rPr>
                <w:rFonts w:hint="eastAsia" w:ascii="宋体" w:hAnsi="宋体" w:eastAsia="宋体" w:cs="宋体"/>
                <w:bCs/>
                <w:kern w:val="2"/>
                <w:sz w:val="21"/>
                <w:szCs w:val="21"/>
                <w:highlight w:val="none"/>
              </w:rPr>
            </w:pPr>
          </w:p>
        </w:tc>
        <w:tc>
          <w:tcPr>
            <w:tcW w:w="292" w:type="dxa"/>
            <w:noWrap w:val="0"/>
            <w:vAlign w:val="top"/>
          </w:tcPr>
          <w:p w14:paraId="4645CF61">
            <w:pPr>
              <w:spacing w:line="360" w:lineRule="auto"/>
              <w:rPr>
                <w:rFonts w:hint="eastAsia" w:ascii="宋体" w:hAnsi="宋体" w:eastAsia="宋体" w:cs="宋体"/>
                <w:kern w:val="2"/>
                <w:sz w:val="21"/>
                <w:szCs w:val="21"/>
                <w:highlight w:val="none"/>
              </w:rPr>
            </w:pPr>
          </w:p>
        </w:tc>
        <w:tc>
          <w:tcPr>
            <w:tcW w:w="4674" w:type="dxa"/>
            <w:noWrap w:val="0"/>
            <w:vAlign w:val="top"/>
          </w:tcPr>
          <w:p w14:paraId="65BD516F">
            <w:pPr>
              <w:spacing w:line="360" w:lineRule="auto"/>
              <w:rPr>
                <w:rFonts w:hint="eastAsia" w:ascii="宋体" w:hAnsi="宋体" w:eastAsia="宋体" w:cs="宋体"/>
                <w:kern w:val="2"/>
                <w:sz w:val="21"/>
                <w:szCs w:val="21"/>
                <w:highlight w:val="none"/>
              </w:rPr>
            </w:pPr>
          </w:p>
        </w:tc>
      </w:tr>
      <w:tr w14:paraId="31EA938E">
        <w:tblPrEx>
          <w:tblCellMar>
            <w:top w:w="0" w:type="dxa"/>
            <w:left w:w="108" w:type="dxa"/>
            <w:bottom w:w="0" w:type="dxa"/>
            <w:right w:w="108" w:type="dxa"/>
          </w:tblCellMar>
        </w:tblPrEx>
        <w:trPr>
          <w:trHeight w:val="271" w:hRule="atLeast"/>
        </w:trPr>
        <w:tc>
          <w:tcPr>
            <w:tcW w:w="4252" w:type="dxa"/>
            <w:noWrap w:val="0"/>
            <w:vAlign w:val="top"/>
          </w:tcPr>
          <w:p w14:paraId="5A028883">
            <w:pPr>
              <w:spacing w:line="360" w:lineRule="auto"/>
              <w:rPr>
                <w:rFonts w:hint="eastAsia" w:ascii="宋体" w:hAnsi="宋体" w:eastAsia="宋体" w:cs="宋体"/>
                <w:kern w:val="2"/>
                <w:sz w:val="21"/>
                <w:szCs w:val="21"/>
                <w:highlight w:val="none"/>
              </w:rPr>
            </w:pPr>
          </w:p>
        </w:tc>
        <w:tc>
          <w:tcPr>
            <w:tcW w:w="292" w:type="dxa"/>
            <w:noWrap w:val="0"/>
            <w:vAlign w:val="top"/>
          </w:tcPr>
          <w:p w14:paraId="6A1F5B44">
            <w:pPr>
              <w:spacing w:line="360" w:lineRule="auto"/>
              <w:rPr>
                <w:rFonts w:hint="eastAsia" w:ascii="宋体" w:hAnsi="宋体" w:eastAsia="宋体" w:cs="宋体"/>
                <w:kern w:val="2"/>
                <w:sz w:val="21"/>
                <w:szCs w:val="21"/>
                <w:highlight w:val="none"/>
              </w:rPr>
            </w:pPr>
          </w:p>
        </w:tc>
        <w:tc>
          <w:tcPr>
            <w:tcW w:w="4674" w:type="dxa"/>
            <w:noWrap w:val="0"/>
            <w:vAlign w:val="top"/>
          </w:tcPr>
          <w:p w14:paraId="44A2A1CC">
            <w:pPr>
              <w:spacing w:line="360" w:lineRule="auto"/>
              <w:rPr>
                <w:rFonts w:hint="eastAsia" w:ascii="宋体" w:hAnsi="宋体" w:eastAsia="宋体" w:cs="宋体"/>
                <w:kern w:val="2"/>
                <w:sz w:val="21"/>
                <w:szCs w:val="21"/>
                <w:highlight w:val="none"/>
              </w:rPr>
            </w:pPr>
          </w:p>
        </w:tc>
      </w:tr>
      <w:tr w14:paraId="48837A7D">
        <w:tblPrEx>
          <w:tblCellMar>
            <w:top w:w="0" w:type="dxa"/>
            <w:left w:w="108" w:type="dxa"/>
            <w:bottom w:w="0" w:type="dxa"/>
            <w:right w:w="108" w:type="dxa"/>
          </w:tblCellMar>
        </w:tblPrEx>
        <w:trPr>
          <w:trHeight w:val="271" w:hRule="atLeast"/>
        </w:trPr>
        <w:tc>
          <w:tcPr>
            <w:tcW w:w="4252" w:type="dxa"/>
            <w:noWrap w:val="0"/>
            <w:vAlign w:val="top"/>
          </w:tcPr>
          <w:p w14:paraId="005B2EB0">
            <w:pPr>
              <w:spacing w:line="360" w:lineRule="auto"/>
              <w:jc w:val="right"/>
              <w:rPr>
                <w:rFonts w:hint="eastAsia" w:ascii="宋体" w:hAnsi="宋体" w:eastAsia="宋体" w:cs="宋体"/>
                <w:bCs/>
                <w:kern w:val="2"/>
                <w:sz w:val="21"/>
                <w:szCs w:val="21"/>
                <w:highlight w:val="none"/>
              </w:rPr>
            </w:pPr>
          </w:p>
        </w:tc>
        <w:tc>
          <w:tcPr>
            <w:tcW w:w="292" w:type="dxa"/>
            <w:noWrap w:val="0"/>
            <w:vAlign w:val="top"/>
          </w:tcPr>
          <w:p w14:paraId="65439CCB">
            <w:pPr>
              <w:spacing w:line="360" w:lineRule="auto"/>
              <w:rPr>
                <w:rFonts w:hint="eastAsia" w:ascii="宋体" w:hAnsi="宋体" w:eastAsia="宋体" w:cs="宋体"/>
                <w:kern w:val="2"/>
                <w:sz w:val="21"/>
                <w:szCs w:val="21"/>
                <w:highlight w:val="none"/>
              </w:rPr>
            </w:pPr>
          </w:p>
        </w:tc>
        <w:tc>
          <w:tcPr>
            <w:tcW w:w="4674" w:type="dxa"/>
            <w:noWrap w:val="0"/>
            <w:vAlign w:val="top"/>
          </w:tcPr>
          <w:p w14:paraId="43342F37">
            <w:pPr>
              <w:spacing w:line="360" w:lineRule="auto"/>
              <w:rPr>
                <w:rFonts w:hint="eastAsia" w:ascii="宋体" w:hAnsi="宋体" w:eastAsia="宋体" w:cs="宋体"/>
                <w:kern w:val="2"/>
                <w:sz w:val="21"/>
                <w:szCs w:val="21"/>
                <w:highlight w:val="none"/>
              </w:rPr>
            </w:pPr>
          </w:p>
        </w:tc>
      </w:tr>
    </w:tbl>
    <w:p w14:paraId="2E523A30">
      <w:pPr>
        <w:spacing w:line="360" w:lineRule="auto"/>
        <w:ind w:firstLine="3162" w:firstLineChars="1500"/>
        <w:jc w:val="left"/>
        <w:rPr>
          <w:rFonts w:hint="eastAsia" w:ascii="宋体" w:hAnsi="宋体" w:eastAsia="宋体" w:cs="宋体"/>
          <w:b/>
          <w:bCs/>
          <w:kern w:val="2"/>
          <w:sz w:val="21"/>
          <w:szCs w:val="21"/>
          <w:highlight w:val="none"/>
        </w:rPr>
      </w:pPr>
    </w:p>
    <w:p w14:paraId="77D0F6DD">
      <w:pPr>
        <w:spacing w:line="360" w:lineRule="auto"/>
        <w:ind w:firstLine="3162" w:firstLineChars="1500"/>
        <w:jc w:val="left"/>
        <w:rPr>
          <w:rFonts w:hint="eastAsia" w:ascii="宋体" w:hAnsi="宋体" w:eastAsia="宋体" w:cs="宋体"/>
          <w:b/>
          <w:bCs/>
          <w:kern w:val="2"/>
          <w:sz w:val="21"/>
          <w:szCs w:val="21"/>
          <w:highlight w:val="none"/>
        </w:rPr>
      </w:pPr>
    </w:p>
    <w:p w14:paraId="7DA37D19">
      <w:pPr>
        <w:spacing w:line="360" w:lineRule="auto"/>
        <w:jc w:val="left"/>
        <w:rPr>
          <w:rFonts w:hint="eastAsia" w:ascii="宋体" w:hAnsi="宋体" w:eastAsia="宋体" w:cs="宋体"/>
          <w:b/>
          <w:bCs/>
          <w:kern w:val="2"/>
          <w:sz w:val="21"/>
          <w:szCs w:val="21"/>
          <w:highlight w:val="none"/>
        </w:rPr>
      </w:pPr>
    </w:p>
    <w:p w14:paraId="3F3D5BC4">
      <w:pPr>
        <w:spacing w:line="360" w:lineRule="auto"/>
        <w:ind w:firstLine="3162" w:firstLineChars="1500"/>
        <w:jc w:val="left"/>
        <w:rPr>
          <w:rFonts w:hint="eastAsia" w:ascii="宋体" w:hAnsi="宋体" w:eastAsia="宋体" w:cs="宋体"/>
          <w:b/>
          <w:bCs/>
          <w:kern w:val="2"/>
          <w:sz w:val="21"/>
          <w:szCs w:val="21"/>
          <w:highlight w:val="none"/>
        </w:rPr>
      </w:pPr>
      <w:r>
        <w:rPr>
          <w:rFonts w:hint="eastAsia" w:ascii="宋体" w:hAnsi="宋体" w:eastAsia="宋体" w:cs="宋体"/>
          <w:b/>
          <w:bCs/>
          <w:kern w:val="2"/>
          <w:sz w:val="21"/>
          <w:szCs w:val="21"/>
          <w:highlight w:val="none"/>
        </w:rPr>
        <w:t>B  合同一般条款</w:t>
      </w:r>
    </w:p>
    <w:p w14:paraId="410A3B54">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一、定义</w:t>
      </w:r>
    </w:p>
    <w:p w14:paraId="5231EC13">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1.“合同”系指甲方和乙方(简称合同双方)已达成的协议，即由双方签订的合同格式中的文件，包括所有的附件、附录和组成合同部分的所有其他文件。</w:t>
      </w:r>
    </w:p>
    <w:p w14:paraId="5BCDC6FC">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2.“合同价格”系指根据合同规定，在乙方全面正确地履行合同义务时应支付给乙方的款项。</w:t>
      </w:r>
    </w:p>
    <w:p w14:paraId="2D089AB8">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3.“甲方”系指接受合同的</w:t>
      </w:r>
      <w:r>
        <w:rPr>
          <w:rFonts w:hint="eastAsia" w:ascii="宋体" w:hAnsi="宋体" w:eastAsia="宋体" w:cs="宋体"/>
          <w:kern w:val="2"/>
          <w:sz w:val="21"/>
          <w:szCs w:val="21"/>
          <w:highlight w:val="none"/>
          <w:lang w:eastAsia="zh-CN"/>
        </w:rPr>
        <w:t>采购人</w:t>
      </w:r>
      <w:r>
        <w:rPr>
          <w:rFonts w:hint="eastAsia" w:ascii="宋体" w:hAnsi="宋体" w:eastAsia="宋体" w:cs="宋体"/>
          <w:kern w:val="2"/>
          <w:sz w:val="21"/>
          <w:szCs w:val="21"/>
          <w:highlight w:val="none"/>
        </w:rPr>
        <w:t>。</w:t>
      </w:r>
    </w:p>
    <w:p w14:paraId="3B839812">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4.“乙方”系指中标后提供合同服务的企业，即                           。</w:t>
      </w:r>
    </w:p>
    <w:p w14:paraId="495A5506">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二、语言与计量单位</w:t>
      </w:r>
    </w:p>
    <w:p w14:paraId="08F8E8B4">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 合同及甲乙双方所有的来往信函以及与合同有关的文件均应以中文书写。</w:t>
      </w:r>
    </w:p>
    <w:p w14:paraId="4D925698">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 除技术规格另有规定外，计量单位均使用中华人民共和国法定计量单位。</w:t>
      </w:r>
    </w:p>
    <w:p w14:paraId="0AD3D113">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三、服务内容、质量和验收考评标准</w:t>
      </w:r>
    </w:p>
    <w:p w14:paraId="7CFC33C3">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具体要求：</w:t>
      </w:r>
    </w:p>
    <w:p w14:paraId="0D0D9861">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四、甲方权利和义务</w:t>
      </w:r>
    </w:p>
    <w:p w14:paraId="3D1BF09E">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 按照合同约定的内容和标准督促检查验收乙方的服务过程和结果，检查核实乙方工作人员配置、在岗状况、持证情况。有权要求乙方对不称职的员工按响应文件所承诺的资格条件进行更换，并可追究由此给乙方造成的实际损失。</w:t>
      </w:r>
    </w:p>
    <w:p w14:paraId="42A2826C">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 按合同要求及时向乙方支付服务费。</w:t>
      </w:r>
    </w:p>
    <w:p w14:paraId="257D0D6B">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3. 合同服务期内，向乙方提供相应的办公条件和设备。</w:t>
      </w:r>
    </w:p>
    <w:p w14:paraId="68C2BEF0">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4. 必要时，就服务范围内事宜协调属地管理部门；</w:t>
      </w:r>
    </w:p>
    <w:p w14:paraId="321163F5">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五、乙方的权利和义务</w:t>
      </w:r>
    </w:p>
    <w:p w14:paraId="66DB47F3">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1.按照合同约定收取服务费，根据与甲方的协商结果获取合同外服务的合理费用。</w:t>
      </w:r>
    </w:p>
    <w:p w14:paraId="30F56E88">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2.必须严格实施乙方响应文件中承诺的人力资源配置。在必须补充或更换人员时，必须补充或更换优于或等同于响应文件承诺的上岗资格的工作人员。</w:t>
      </w:r>
    </w:p>
    <w:p w14:paraId="379278C9">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3.乙方项目经理、主要管理人员及主要专业技术人员须与响应文件所报一致。合同存续期内，未经甲方要求或同意，项目经理原则上不应调整。项目经理、主要管理人员必须保证在岗工作时间和重要活动在岗，如有变化，须取得甲方的同意。</w:t>
      </w:r>
    </w:p>
    <w:p w14:paraId="0E728B99">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4.严格履行合同文件（含磋商文件、响应文件等）约定和承诺的服务内容、质量标准、工序工艺。</w:t>
      </w:r>
    </w:p>
    <w:p w14:paraId="4889152B">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5.科学、完整、连续地编制保管绿化养护档案资料并按时移交。</w:t>
      </w:r>
    </w:p>
    <w:p w14:paraId="41B17F37">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（1）编制周、月、季度服务档案报告。</w:t>
      </w:r>
    </w:p>
    <w:p w14:paraId="5E3A31BD">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（2）合同到期、或经双方同意合同提前终止，或满足本合同约定条件下的合同提前解除时，在    日之内，按国家有关规定和双方协议约定向甲方移交全部档案资料。</w:t>
      </w:r>
    </w:p>
    <w:p w14:paraId="0A9B250F">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6.制定并执行严格的安全生产管理措施，保证甲乙方工作人员人身安全和甲方的设备设施的完好无损。</w:t>
      </w:r>
    </w:p>
    <w:p w14:paraId="46452150">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7.严格遵守国家法律，制定突发事件预案，合理合法地处置，杜绝恶性治安事件的发生。</w:t>
      </w:r>
    </w:p>
    <w:p w14:paraId="7A838A6A">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六、甲方违约责任</w:t>
      </w:r>
    </w:p>
    <w:p w14:paraId="2335E97A">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 xml:space="preserve">具体是：                     </w:t>
      </w:r>
    </w:p>
    <w:p w14:paraId="745E4F4F">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七、乙方违约责任</w:t>
      </w:r>
    </w:p>
    <w:p w14:paraId="5B3FAFDD">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 xml:space="preserve">具体是：                     </w:t>
      </w:r>
    </w:p>
    <w:p w14:paraId="4B046C5B">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八、 索赔</w:t>
      </w:r>
    </w:p>
    <w:p w14:paraId="6600E473">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甲乙方违约时，当一方提出索赔通知后  天内对方未能予以答复，应视为已被对方接受。</w:t>
      </w:r>
    </w:p>
    <w:p w14:paraId="21DE6A42">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九、责任免除</w:t>
      </w:r>
    </w:p>
    <w:p w14:paraId="494558D1">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签约双方任一方由于受诸如战争、严重火灾、洪水、台风、地震等不可抗力事故的影响而不能执行合同时，可免除违约责任。</w:t>
      </w:r>
    </w:p>
    <w:p w14:paraId="6ED16D55">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十、履约保证金</w:t>
      </w:r>
    </w:p>
    <w:p w14:paraId="796171E8">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乙方应在合同签订后，按磋商文件内容向甲方提供履约保证金。履约保证金人民币大写           元整（小写          元）。</w:t>
      </w:r>
    </w:p>
    <w:p w14:paraId="18344FEA">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 xml:space="preserve">十一、争议的解决 </w:t>
      </w:r>
    </w:p>
    <w:p w14:paraId="5DE70747">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1.在执行合同中发生的或与本合同有关的争端，双方应通过协商解决。</w:t>
      </w:r>
    </w:p>
    <w:p w14:paraId="4CEFEB4F">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2.双方协商不能达成一致时，采取以下第 （1） 种方式解决：</w:t>
      </w:r>
    </w:p>
    <w:p w14:paraId="2357E633">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（1）向甲方所在地人民法院起诉；</w:t>
      </w:r>
    </w:p>
    <w:p w14:paraId="39F79CDA">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（2）向仲裁委员会申请仲裁。</w:t>
      </w:r>
    </w:p>
    <w:p w14:paraId="158FB808">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3.在起诉或仲裁期间，除正在进行的起诉或仲裁部分外，合同其他部分继续执行。</w:t>
      </w:r>
    </w:p>
    <w:p w14:paraId="16B4DE7C">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十二、合同修改</w:t>
      </w:r>
    </w:p>
    <w:p w14:paraId="299204EE">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对于合同的未尽事宜，需进行修改、补充和完善的，甲乙双方必须就所修改的内容签订书面的合同修改书，作为合同的补充协议。</w:t>
      </w:r>
    </w:p>
    <w:p w14:paraId="1A6A9C80">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十三</w:t>
      </w:r>
      <w:r>
        <w:rPr>
          <w:rFonts w:hint="eastAsia" w:ascii="宋体" w:hAnsi="宋体" w:eastAsia="宋体" w:cs="宋体"/>
          <w:kern w:val="2"/>
          <w:sz w:val="21"/>
          <w:szCs w:val="21"/>
          <w:highlight w:val="none"/>
        </w:rPr>
        <w:t>、合同终止、解除</w:t>
      </w:r>
    </w:p>
    <w:p w14:paraId="00CBFBF8">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1.本合同期限自签订之日起到合同终止日期。合同到期甲乙双方均未提出新的意向，合同自行终止。合作期内任何一方不得擅自停止协议，否则应负担所造成的一切损失。</w:t>
      </w:r>
    </w:p>
    <w:p w14:paraId="779901F4">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2.在下列情况发生时，甲方有权提前解除合同并就实际损失向乙方提出索赔：</w:t>
      </w:r>
    </w:p>
    <w:p w14:paraId="59DE00A8">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（1）乙方服务质量</w:t>
      </w:r>
      <w:r>
        <w:rPr>
          <w:rFonts w:hint="eastAsia" w:ascii="宋体" w:hAnsi="宋体" w:eastAsia="宋体" w:cs="宋体"/>
          <w:kern w:val="2"/>
          <w:sz w:val="21"/>
          <w:szCs w:val="21"/>
          <w:highlight w:val="none"/>
          <w:lang w:eastAsia="zh-CN"/>
        </w:rPr>
        <w:t>：</w:t>
      </w:r>
      <w:r>
        <w:rPr>
          <w:rFonts w:hint="eastAsia" w:ascii="宋体" w:hAnsi="宋体" w:eastAsia="宋体" w:cs="宋体"/>
          <w:color w:val="000000"/>
          <w:kern w:val="2"/>
          <w:sz w:val="21"/>
          <w:szCs w:val="21"/>
          <w:highlight w:val="none"/>
        </w:rPr>
        <w:t>连续两次或累计三次</w:t>
      </w:r>
      <w:r>
        <w:rPr>
          <w:rFonts w:hint="eastAsia" w:ascii="宋体" w:hAnsi="宋体" w:eastAsia="宋体" w:cs="宋体"/>
          <w:kern w:val="2"/>
          <w:sz w:val="21"/>
          <w:szCs w:val="21"/>
          <w:highlight w:val="none"/>
        </w:rPr>
        <w:t xml:space="preserve"> 考核不合格；</w:t>
      </w:r>
    </w:p>
    <w:p w14:paraId="7E9DF702">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（2）乙方未得到甲方同意，擅自更换项目经理和主要管理人员。</w:t>
      </w:r>
    </w:p>
    <w:p w14:paraId="2165C4A3">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3.乙方因故需终止合同，必须提前</w:t>
      </w:r>
      <w:r>
        <w:rPr>
          <w:rFonts w:hint="eastAsia" w:ascii="宋体" w:hAnsi="宋体" w:eastAsia="宋体" w:cs="宋体"/>
          <w:kern w:val="2"/>
          <w:sz w:val="21"/>
          <w:szCs w:val="21"/>
          <w:highlight w:val="none"/>
          <w:lang w:val="en-US" w:eastAsia="zh-CN"/>
        </w:rPr>
        <w:t>2个月</w:t>
      </w:r>
      <w:r>
        <w:rPr>
          <w:rFonts w:hint="eastAsia" w:ascii="宋体" w:hAnsi="宋体" w:eastAsia="宋体" w:cs="宋体"/>
          <w:kern w:val="2"/>
          <w:sz w:val="21"/>
          <w:szCs w:val="21"/>
          <w:highlight w:val="none"/>
        </w:rPr>
        <w:t>书面通知甲方，经甲方同意后，方可终止。</w:t>
      </w:r>
    </w:p>
    <w:p w14:paraId="7C576BF5">
      <w:pPr>
        <w:keepNext/>
        <w:keepLines/>
        <w:widowControl w:val="0"/>
        <w:autoSpaceDE w:val="0"/>
        <w:autoSpaceDN w:val="0"/>
        <w:adjustRightInd w:val="0"/>
        <w:spacing w:before="360" w:after="120" w:line="360" w:lineRule="auto"/>
        <w:jc w:val="left"/>
        <w:outlineLvl w:val="2"/>
        <w:rPr>
          <w:rFonts w:hint="eastAsia" w:ascii="宋体" w:hAnsi="宋体" w:eastAsia="宋体" w:cs="宋体"/>
          <w:b w:val="0"/>
          <w:kern w:val="0"/>
          <w:sz w:val="21"/>
          <w:szCs w:val="21"/>
          <w:highlight w:val="none"/>
          <w:u w:val="single"/>
          <w:lang w:val="en-US" w:eastAsia="zh-CN" w:bidi="ar-SA"/>
        </w:rPr>
      </w:pPr>
    </w:p>
    <w:p w14:paraId="748193CC">
      <w:pPr>
        <w:spacing w:line="360" w:lineRule="auto"/>
        <w:rPr>
          <w:rFonts w:hint="eastAsia" w:ascii="宋体" w:hAnsi="宋体" w:eastAsia="宋体" w:cs="宋体"/>
          <w:b/>
          <w:kern w:val="2"/>
          <w:sz w:val="21"/>
          <w:szCs w:val="21"/>
          <w:highlight w:val="none"/>
        </w:rPr>
      </w:pPr>
    </w:p>
    <w:p w14:paraId="429D5A9D">
      <w:pPr>
        <w:spacing w:line="360" w:lineRule="auto"/>
        <w:rPr>
          <w:rFonts w:hint="eastAsia" w:ascii="宋体" w:hAnsi="宋体" w:eastAsia="宋体" w:cs="宋体"/>
          <w:kern w:val="2"/>
          <w:sz w:val="21"/>
          <w:szCs w:val="21"/>
          <w:highlight w:val="none"/>
        </w:rPr>
      </w:pPr>
    </w:p>
    <w:p w14:paraId="735E8CE3">
      <w:pPr>
        <w:spacing w:line="360" w:lineRule="auto"/>
        <w:jc w:val="center"/>
        <w:outlineLvl w:val="0"/>
        <w:rPr>
          <w:rFonts w:hint="eastAsia" w:ascii="宋体" w:hAnsi="宋体" w:eastAsia="宋体" w:cs="宋体"/>
          <w:b/>
          <w:kern w:val="2"/>
          <w:sz w:val="21"/>
          <w:szCs w:val="21"/>
          <w:highlight w:val="none"/>
        </w:rPr>
      </w:pPr>
    </w:p>
    <w:p w14:paraId="7E46B026">
      <w:pPr>
        <w:spacing w:line="360" w:lineRule="auto"/>
        <w:jc w:val="left"/>
        <w:rPr>
          <w:rFonts w:hint="eastAsia" w:ascii="宋体" w:hAnsi="宋体" w:eastAsia="宋体" w:cs="宋体"/>
          <w:color w:val="0000FF"/>
          <w:kern w:val="2"/>
          <w:sz w:val="21"/>
          <w:szCs w:val="21"/>
          <w:highlight w:val="none"/>
        </w:rPr>
      </w:pPr>
      <w:r>
        <w:rPr>
          <w:rFonts w:hint="eastAsia" w:ascii="宋体" w:hAnsi="宋体" w:eastAsia="宋体" w:cs="宋体"/>
          <w:b/>
          <w:bCs/>
          <w:color w:val="000000"/>
          <w:kern w:val="2"/>
          <w:sz w:val="21"/>
          <w:szCs w:val="21"/>
          <w:highlight w:val="none"/>
        </w:rPr>
        <w:t>《常州市城市绿化植物养护管理技术规范、常州市金坛区朱林镇绿化养护标准及技术规程》及其他</w:t>
      </w:r>
    </w:p>
    <w:p w14:paraId="6C892443">
      <w:pPr>
        <w:spacing w:line="360" w:lineRule="auto"/>
        <w:ind w:firstLine="843" w:firstLineChars="400"/>
        <w:jc w:val="center"/>
        <w:rPr>
          <w:rFonts w:hint="eastAsia" w:ascii="宋体" w:hAnsi="宋体" w:eastAsia="宋体" w:cs="宋体"/>
          <w:kern w:val="0"/>
          <w:sz w:val="21"/>
          <w:szCs w:val="21"/>
          <w:highlight w:val="none"/>
        </w:rPr>
      </w:pPr>
      <w:r>
        <w:rPr>
          <w:rFonts w:hint="eastAsia" w:ascii="宋体" w:hAnsi="宋体" w:eastAsia="宋体" w:cs="宋体"/>
          <w:b/>
          <w:kern w:val="2"/>
          <w:sz w:val="21"/>
          <w:szCs w:val="21"/>
          <w:highlight w:val="none"/>
        </w:rPr>
        <w:t>常州市城市绿化植物养护管理技术规范</w:t>
      </w:r>
    </w:p>
    <w:p w14:paraId="69854AA7">
      <w:pPr>
        <w:spacing w:line="360" w:lineRule="auto"/>
        <w:ind w:firstLine="200"/>
        <w:jc w:val="center"/>
        <w:rPr>
          <w:rFonts w:hint="eastAsia" w:ascii="宋体" w:hAnsi="宋体" w:eastAsia="宋体" w:cs="宋体"/>
          <w:kern w:val="2"/>
          <w:sz w:val="21"/>
          <w:szCs w:val="21"/>
          <w:highlight w:val="none"/>
        </w:rPr>
      </w:pPr>
      <w:r>
        <w:rPr>
          <w:rFonts w:hint="eastAsia" w:ascii="宋体" w:hAnsi="宋体" w:eastAsia="宋体" w:cs="宋体"/>
          <w:bCs/>
          <w:kern w:val="2"/>
          <w:sz w:val="21"/>
          <w:szCs w:val="21"/>
          <w:highlight w:val="none"/>
        </w:rPr>
        <w:t>1、</w:t>
      </w:r>
      <w:r>
        <w:rPr>
          <w:rFonts w:hint="eastAsia" w:ascii="宋体" w:hAnsi="宋体" w:eastAsia="宋体" w:cs="宋体"/>
          <w:kern w:val="2"/>
          <w:sz w:val="21"/>
          <w:szCs w:val="21"/>
          <w:highlight w:val="none"/>
        </w:rPr>
        <w:t>树木（乔木、灌木）</w:t>
      </w:r>
    </w:p>
    <w:p w14:paraId="486C8D52">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养护管理内容包括：浇灌与排水，整形与修剪，病虫害防治，松土与除草，施肥，支撑、防护与涂白，切边和留积水穴，复壮、补植与调整等。</w:t>
      </w:r>
    </w:p>
    <w:p w14:paraId="688F2969">
      <w:pPr>
        <w:spacing w:line="360" w:lineRule="auto"/>
        <w:ind w:firstLine="200"/>
        <w:jc w:val="center"/>
        <w:rPr>
          <w:rFonts w:hint="eastAsia" w:ascii="宋体" w:hAnsi="宋体" w:eastAsia="宋体" w:cs="宋体"/>
          <w:bCs/>
          <w:kern w:val="2"/>
          <w:sz w:val="21"/>
          <w:szCs w:val="21"/>
          <w:highlight w:val="none"/>
        </w:rPr>
      </w:pPr>
      <w:bookmarkStart w:id="674" w:name="_Toc332180819"/>
      <w:r>
        <w:rPr>
          <w:rFonts w:hint="eastAsia" w:ascii="宋体" w:hAnsi="宋体" w:eastAsia="宋体" w:cs="宋体"/>
          <w:bCs/>
          <w:kern w:val="2"/>
          <w:sz w:val="21"/>
          <w:szCs w:val="21"/>
          <w:highlight w:val="none"/>
        </w:rPr>
        <w:t>1.1浇灌与排水</w:t>
      </w:r>
      <w:bookmarkEnd w:id="674"/>
    </w:p>
    <w:p w14:paraId="082D2BB4">
      <w:pPr>
        <w:spacing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1.1.1 浇水应根据树木生物学特性、长势、季节和土质状况，做到适树、适地、适时、适量浇灌。夏季中午气温较高和冬季早晚气温较低时不宜浇水。</w:t>
      </w:r>
    </w:p>
    <w:p w14:paraId="10CA9D2A">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0"/>
          <w:sz w:val="21"/>
          <w:szCs w:val="21"/>
          <w:highlight w:val="none"/>
        </w:rPr>
        <w:t>1.1.2 浇灌次数应根据气候、土壤墒情、植物特性和长势等具体情况确定。</w:t>
      </w:r>
      <w:r>
        <w:rPr>
          <w:rFonts w:hint="eastAsia" w:ascii="宋体" w:hAnsi="宋体" w:eastAsia="宋体" w:cs="宋体"/>
          <w:kern w:val="2"/>
          <w:sz w:val="21"/>
          <w:szCs w:val="21"/>
          <w:highlight w:val="none"/>
        </w:rPr>
        <w:t>干旱季节宜多灌，雨季少灌或不灌；发芽生长期可多灌，休眠期前适当控制水量。</w:t>
      </w:r>
    </w:p>
    <w:p w14:paraId="36E1B8D3">
      <w:pPr>
        <w:spacing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2"/>
          <w:sz w:val="21"/>
          <w:szCs w:val="21"/>
          <w:highlight w:val="none"/>
        </w:rPr>
        <w:t>树木每年浇水20次以上， 5月至10月期间，连续7天无降雨应浇透水1次，气温连续35℃以上每2天浇水1次，冬季休眠前浇防冻水至少1次。</w:t>
      </w:r>
    </w:p>
    <w:p w14:paraId="7B93CE38">
      <w:pPr>
        <w:spacing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1.1.3 浇灌前应先松土，以浇透为宜，水分应渗透至树木根部。补（移）植树木高温干旱时应进行叶面喷雾或树干保湿。</w:t>
      </w:r>
    </w:p>
    <w:p w14:paraId="32CBB715">
      <w:pPr>
        <w:spacing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1.1.4 根部积水应及时排出。</w:t>
      </w:r>
      <w:r>
        <w:rPr>
          <w:rFonts w:hint="eastAsia" w:ascii="宋体" w:hAnsi="宋体" w:eastAsia="宋体" w:cs="宋体"/>
          <w:kern w:val="2"/>
          <w:sz w:val="21"/>
          <w:szCs w:val="21"/>
          <w:highlight w:val="none"/>
        </w:rPr>
        <w:t>耐涝性差树木</w:t>
      </w:r>
      <w:r>
        <w:rPr>
          <w:rFonts w:hint="eastAsia" w:ascii="宋体" w:hAnsi="宋体" w:eastAsia="宋体" w:cs="宋体"/>
          <w:kern w:val="0"/>
          <w:sz w:val="21"/>
          <w:szCs w:val="21"/>
          <w:highlight w:val="none"/>
        </w:rPr>
        <w:t>应该在2小时内排除积水，低洼易积水处应设置排水沟。</w:t>
      </w:r>
    </w:p>
    <w:p w14:paraId="2D72ECC2">
      <w:pPr>
        <w:spacing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1.1.5水源不得含有毒物质，提倡使用中水、雨水和河水浇灌。</w:t>
      </w:r>
    </w:p>
    <w:p w14:paraId="70B10B4D">
      <w:pPr>
        <w:spacing w:line="360" w:lineRule="auto"/>
        <w:ind w:firstLine="200"/>
        <w:jc w:val="center"/>
        <w:rPr>
          <w:rFonts w:hint="eastAsia" w:ascii="宋体" w:hAnsi="宋体" w:eastAsia="宋体" w:cs="宋体"/>
          <w:bCs/>
          <w:kern w:val="2"/>
          <w:sz w:val="21"/>
          <w:szCs w:val="21"/>
          <w:highlight w:val="none"/>
        </w:rPr>
      </w:pPr>
      <w:bookmarkStart w:id="675" w:name="_Toc332180820"/>
      <w:r>
        <w:rPr>
          <w:rFonts w:hint="eastAsia" w:ascii="宋体" w:hAnsi="宋体" w:eastAsia="宋体" w:cs="宋体"/>
          <w:bCs/>
          <w:kern w:val="2"/>
          <w:sz w:val="21"/>
          <w:szCs w:val="21"/>
          <w:highlight w:val="none"/>
        </w:rPr>
        <w:t>1.2 整形与修剪</w:t>
      </w:r>
      <w:bookmarkEnd w:id="675"/>
    </w:p>
    <w:p w14:paraId="2A0FDAEC">
      <w:pPr>
        <w:spacing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2"/>
          <w:sz w:val="21"/>
          <w:szCs w:val="21"/>
          <w:highlight w:val="none"/>
        </w:rPr>
        <w:t>1.2.1 依据园林绿化功能和设计的需要，在不违背树木的生长特性和自然分枝规律的前提下（特型树木除外），根据树木品种、生长阶段、生长势强弱、花芽着生部位、开花季节等生物学特性进行修剪。</w:t>
      </w:r>
    </w:p>
    <w:p w14:paraId="29034EF5">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1.2.2 自然型树木的修剪应以树木自然分枝习性所形成的树冠形状为基础进行修剪。</w:t>
      </w:r>
    </w:p>
    <w:p w14:paraId="24CF90E2">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造型树木的修剪应根据园林绿化对树木的特定要求，控制树木部分枝干，保持树木的原有形态。</w:t>
      </w:r>
    </w:p>
    <w:p w14:paraId="13A7F3FA">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1.2.3花芽着生于生枝条即早春开花植物应在花谢后进行修剪。</w:t>
      </w:r>
    </w:p>
    <w:p w14:paraId="215055E3">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1.2.4 休眠期修剪以整形为主，适宜进行中剪或重剪。需要整形的树木，在幼年和成熟阶段，每年应整形修剪1次；衰老阶段，2-3年进行1次复壮修剪，促进更新。生长势和萌芽力弱以及成枝率低的树种，修剪量和修剪频率应适当降低，宜进行轻度疏剪。</w:t>
      </w:r>
    </w:p>
    <w:p w14:paraId="3F029DF8">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落叶树木修剪时期为树木落叶后至萌芽前;常绿阔叶树木或抗寒力差树种应在秋季新梢停止生长至休眠前或春芽萌动前进行修剪;观枝观叶植物如红瑞木、山麻杆等，应在早春萌动前抽除过密弱枝和枯老枝; 花芽着生于当年生枝条即夏季或秋季开花植物应在冬季或早春以短截和疏枝相结合方法进行修剪。</w:t>
      </w:r>
    </w:p>
    <w:p w14:paraId="0D508610">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1.2.5 生长期修剪以调整树势为主，适宜轻剪。需要整形的，生长期应修剪3次以上。易伤流树种的修剪应避开生长旺盛期。根据树木的生长特性和不同要求进行疏枝、剥芽、摘心等。</w:t>
      </w:r>
    </w:p>
    <w:p w14:paraId="33E101D9">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观果植物如木瓜海棠、石榴、山楂等，应及时摘心、抹芽和摘蕾，促使植物保持中庸树势，有利于花芽分化。</w:t>
      </w:r>
    </w:p>
    <w:p w14:paraId="07AFEB24">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花芽着生于生枝条即早春开花植物，应在花谢后进行修剪，花芽着生于多年生枝条上的，如紫荆、贴梗海棠等，应于早春花后将枝条进行轻剪，生长季节进行摘心处理。</w:t>
      </w:r>
    </w:p>
    <w:p w14:paraId="14744245">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1.2.6 修剪应去除徒长枝、病虫枝、交叉枝、并生枝、下垂枝、扭伤枝以及枯枝和烂头。</w:t>
      </w:r>
      <w:r>
        <w:rPr>
          <w:rFonts w:hint="eastAsia" w:ascii="宋体" w:hAnsi="宋体" w:eastAsia="宋体" w:cs="宋体"/>
          <w:kern w:val="0"/>
          <w:sz w:val="21"/>
          <w:szCs w:val="21"/>
          <w:highlight w:val="none"/>
        </w:rPr>
        <w:t>嫁接的树木必须及时除去砧木的萌蘖枝。遇有架空线者应按杯状形修剪。</w:t>
      </w:r>
    </w:p>
    <w:p w14:paraId="27B21BAE">
      <w:pPr>
        <w:spacing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2"/>
          <w:sz w:val="21"/>
          <w:szCs w:val="21"/>
          <w:highlight w:val="none"/>
        </w:rPr>
        <w:t>1.2.7 修剪切口要平整，</w:t>
      </w:r>
      <w:r>
        <w:rPr>
          <w:rFonts w:hint="eastAsia" w:ascii="宋体" w:hAnsi="宋体" w:eastAsia="宋体" w:cs="宋体"/>
          <w:kern w:val="0"/>
          <w:sz w:val="21"/>
          <w:szCs w:val="21"/>
          <w:highlight w:val="none"/>
        </w:rPr>
        <w:t>疏枝必须自枝条基部修除,不留短桩。大枝短截应分段截枝。直径2cm以上的截面应光滑平整,略向内倾斜,伤口应涂抹防腐剂或生长素。</w:t>
      </w:r>
    </w:p>
    <w:p w14:paraId="110473D9">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1.2.8 修剪前需制定修剪技术方案，上树前必须进行修剪培训和安全教育，全面掌握后方可修剪，并确保安全。</w:t>
      </w:r>
    </w:p>
    <w:p w14:paraId="74DDD605">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1.2.9 修剪下来的枝条等废弃物，应及时清运，保证环境整洁；有病虫害的枝条要及时集中进行无害化处理，防止病虫害蔓延。</w:t>
      </w:r>
    </w:p>
    <w:p w14:paraId="38D07A11">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1.2.10 极端气候(如强风、暴雨、冰雹、强降雪等)造成树体倾斜、枝杈劈裂、折断等，应视其损伤程度，采用适宜方法及时修剪。</w:t>
      </w:r>
    </w:p>
    <w:p w14:paraId="7A4730FC">
      <w:pPr>
        <w:spacing w:line="360" w:lineRule="auto"/>
        <w:ind w:firstLine="200"/>
        <w:jc w:val="center"/>
        <w:rPr>
          <w:rFonts w:hint="eastAsia" w:ascii="宋体" w:hAnsi="宋体" w:eastAsia="宋体" w:cs="宋体"/>
          <w:bCs/>
          <w:kern w:val="2"/>
          <w:sz w:val="21"/>
          <w:szCs w:val="21"/>
          <w:highlight w:val="none"/>
        </w:rPr>
      </w:pPr>
      <w:bookmarkStart w:id="676" w:name="_Toc332180821"/>
      <w:r>
        <w:rPr>
          <w:rFonts w:hint="eastAsia" w:ascii="宋体" w:hAnsi="宋体" w:eastAsia="宋体" w:cs="宋体"/>
          <w:bCs/>
          <w:kern w:val="2"/>
          <w:sz w:val="21"/>
          <w:szCs w:val="21"/>
          <w:highlight w:val="none"/>
        </w:rPr>
        <w:t>1.3 病虫害防治</w:t>
      </w:r>
      <w:bookmarkEnd w:id="676"/>
    </w:p>
    <w:p w14:paraId="0A789D97">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0"/>
          <w:sz w:val="21"/>
          <w:szCs w:val="21"/>
          <w:highlight w:val="none"/>
        </w:rPr>
        <w:t>1.3.1 贯彻“预防为主，综合治理”的方针，</w:t>
      </w:r>
      <w:r>
        <w:rPr>
          <w:rFonts w:hint="eastAsia" w:ascii="宋体" w:hAnsi="宋体" w:eastAsia="宋体" w:cs="宋体"/>
          <w:kern w:val="2"/>
          <w:sz w:val="21"/>
          <w:szCs w:val="21"/>
          <w:highlight w:val="none"/>
        </w:rPr>
        <w:t>每年应根据病虫害预测预报及病虫害发生情况，制定短期和中长期病虫害防治计划，防治病虫害5次以上。提倡使用生物防治、物理防治和人工清除等多种手段控制病虫害；化学防治要科学使用化学药剂，尽量降低农药对社会和环境的影响。</w:t>
      </w:r>
    </w:p>
    <w:p w14:paraId="6BF8FF18">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1.3.4 单株树木枝叶受害率不得超过10%，树干受害率不得超过3%。</w:t>
      </w:r>
    </w:p>
    <w:p w14:paraId="5FCF905F">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1.3.5 每百棵树木，食叶类和刺吸类害虫危害率不得超过10%；钻蛀性害虫危害率不得超过2%；各类病害发病率应控制在10%以下。</w:t>
      </w:r>
    </w:p>
    <w:p w14:paraId="45C97122">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1.3.6 春秋两季，应重点防治刺吸性害虫如蚜虫、蓟马、叶蝉、木虱、网蝽等害虫，注意白粉病、锈病、炭疽病的预防；在植物生长期应注意防治食叶类害虫如刺蛾、袋蛾、尺蠖、斑蛾、毒蛾、巢蛾等害虫，应注意防治钻蛀性害虫如木蠹蛾、天牛、吉丁虫、透翅蛾等害虫；在植物休眠期可通过修剪、树木涂白和清洁田园等措施，减少越冬虫源。</w:t>
      </w:r>
    </w:p>
    <w:p w14:paraId="62145C32">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1.3.7 绿地应制定短期和中长期病虫害防治计划。</w:t>
      </w:r>
    </w:p>
    <w:p w14:paraId="0ACA5179">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1.3.8 建立病虫害防网络，对病虫害及时进行预测预报，并做好病虫害防治台帐。</w:t>
      </w:r>
    </w:p>
    <w:p w14:paraId="0A71976D">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1.3.9 剩余药液不得倒入池塘、湖泊或河流中。</w:t>
      </w:r>
    </w:p>
    <w:p w14:paraId="700E36EE">
      <w:pPr>
        <w:spacing w:line="360" w:lineRule="auto"/>
        <w:ind w:firstLine="200"/>
        <w:jc w:val="center"/>
        <w:rPr>
          <w:rFonts w:hint="eastAsia" w:ascii="宋体" w:hAnsi="宋体" w:eastAsia="宋体" w:cs="宋体"/>
          <w:bCs/>
          <w:kern w:val="2"/>
          <w:sz w:val="21"/>
          <w:szCs w:val="21"/>
          <w:highlight w:val="none"/>
        </w:rPr>
      </w:pPr>
      <w:bookmarkStart w:id="677" w:name="_Toc332180822"/>
      <w:r>
        <w:rPr>
          <w:rFonts w:hint="eastAsia" w:ascii="宋体" w:hAnsi="宋体" w:eastAsia="宋体" w:cs="宋体"/>
          <w:bCs/>
          <w:kern w:val="2"/>
          <w:sz w:val="21"/>
          <w:szCs w:val="21"/>
          <w:highlight w:val="none"/>
        </w:rPr>
        <w:t>1.4 松土与除草</w:t>
      </w:r>
      <w:bookmarkEnd w:id="677"/>
    </w:p>
    <w:p w14:paraId="02C8EAD1">
      <w:pPr>
        <w:spacing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 xml:space="preserve">1.4.1 </w:t>
      </w:r>
      <w:r>
        <w:rPr>
          <w:rFonts w:hint="eastAsia" w:ascii="宋体" w:hAnsi="宋体" w:eastAsia="宋体" w:cs="宋体"/>
          <w:kern w:val="2"/>
          <w:sz w:val="21"/>
          <w:szCs w:val="21"/>
          <w:highlight w:val="none"/>
        </w:rPr>
        <w:t>根部周围土壤保持疏松，松土深度以不伤根系生长为宜。</w:t>
      </w:r>
    </w:p>
    <w:p w14:paraId="3D469944">
      <w:pPr>
        <w:spacing w:line="360" w:lineRule="auto"/>
        <w:ind w:firstLine="420" w:firstLineChars="200"/>
        <w:rPr>
          <w:rFonts w:hint="eastAsia" w:ascii="宋体" w:hAnsi="宋体" w:eastAsia="宋体" w:cs="宋体"/>
          <w:kern w:val="2"/>
          <w:sz w:val="21"/>
          <w:szCs w:val="21"/>
          <w:highlight w:val="none"/>
        </w:rPr>
      </w:pPr>
      <w:bookmarkStart w:id="678" w:name="_Toc332180823"/>
      <w:r>
        <w:rPr>
          <w:rFonts w:hint="eastAsia" w:ascii="宋体" w:hAnsi="宋体" w:eastAsia="宋体" w:cs="宋体"/>
          <w:kern w:val="2"/>
          <w:sz w:val="21"/>
          <w:szCs w:val="21"/>
          <w:highlight w:val="none"/>
        </w:rPr>
        <w:t>1.4.2 草坪上的乔灌木，树穴要根据具体要求进行切边处理。</w:t>
      </w:r>
      <w:bookmarkEnd w:id="678"/>
    </w:p>
    <w:p w14:paraId="151417C7">
      <w:pPr>
        <w:spacing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1.4.3 杂草以人工拔除为主，适当采用生物防治、化学防治措施。</w:t>
      </w:r>
    </w:p>
    <w:p w14:paraId="73951B7A">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1.4.4 及时去除</w:t>
      </w:r>
      <w:r>
        <w:rPr>
          <w:rFonts w:hint="eastAsia" w:ascii="宋体" w:hAnsi="宋体" w:eastAsia="宋体" w:cs="宋体"/>
          <w:kern w:val="0"/>
          <w:sz w:val="21"/>
          <w:szCs w:val="21"/>
          <w:highlight w:val="none"/>
        </w:rPr>
        <w:t>大型恶性杂草，其它杂草控制在不影响景观效果的范围内。</w:t>
      </w:r>
      <w:r>
        <w:rPr>
          <w:rFonts w:hint="eastAsia" w:ascii="宋体" w:hAnsi="宋体" w:eastAsia="宋体" w:cs="宋体"/>
          <w:kern w:val="2"/>
          <w:sz w:val="21"/>
          <w:szCs w:val="21"/>
          <w:highlight w:val="none"/>
        </w:rPr>
        <w:t>根据不同养护等级，每年清除杂草10-15次以上。其中，5月至10月期间，每10-20天要清除杂草1次。</w:t>
      </w:r>
    </w:p>
    <w:p w14:paraId="628FC28B">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1.4.5</w:t>
      </w:r>
      <w:r>
        <w:rPr>
          <w:rFonts w:hint="eastAsia" w:ascii="宋体" w:hAnsi="宋体" w:eastAsia="宋体" w:cs="宋体"/>
          <w:kern w:val="0"/>
          <w:sz w:val="21"/>
          <w:szCs w:val="21"/>
          <w:highlight w:val="none"/>
        </w:rPr>
        <w:t xml:space="preserve"> 禁止各类除草剂在树木周边使用</w:t>
      </w:r>
      <w:r>
        <w:rPr>
          <w:rFonts w:hint="eastAsia" w:ascii="宋体" w:hAnsi="宋体" w:eastAsia="宋体" w:cs="宋体"/>
          <w:kern w:val="2"/>
          <w:sz w:val="21"/>
          <w:szCs w:val="21"/>
          <w:highlight w:val="none"/>
        </w:rPr>
        <w:t>。</w:t>
      </w:r>
    </w:p>
    <w:p w14:paraId="54606090">
      <w:pPr>
        <w:spacing w:line="360" w:lineRule="auto"/>
        <w:ind w:firstLine="200"/>
        <w:jc w:val="center"/>
        <w:rPr>
          <w:rFonts w:hint="eastAsia" w:ascii="宋体" w:hAnsi="宋体" w:eastAsia="宋体" w:cs="宋体"/>
          <w:bCs/>
          <w:kern w:val="2"/>
          <w:sz w:val="21"/>
          <w:szCs w:val="21"/>
          <w:highlight w:val="none"/>
        </w:rPr>
      </w:pPr>
      <w:bookmarkStart w:id="679" w:name="_Toc332180824"/>
      <w:r>
        <w:rPr>
          <w:rFonts w:hint="eastAsia" w:ascii="宋体" w:hAnsi="宋体" w:eastAsia="宋体" w:cs="宋体"/>
          <w:bCs/>
          <w:kern w:val="2"/>
          <w:sz w:val="21"/>
          <w:szCs w:val="21"/>
          <w:highlight w:val="none"/>
        </w:rPr>
        <w:t>1.5 施肥</w:t>
      </w:r>
      <w:bookmarkEnd w:id="679"/>
    </w:p>
    <w:p w14:paraId="34E9A776">
      <w:pPr>
        <w:spacing w:line="360" w:lineRule="auto"/>
        <w:ind w:firstLine="420" w:firstLineChars="200"/>
        <w:rPr>
          <w:rFonts w:hint="eastAsia" w:ascii="宋体" w:hAnsi="宋体" w:eastAsia="宋体" w:cs="宋体"/>
          <w:kern w:val="2"/>
          <w:sz w:val="21"/>
          <w:szCs w:val="21"/>
          <w:highlight w:val="none"/>
        </w:rPr>
      </w:pPr>
      <w:bookmarkStart w:id="680" w:name="_Toc332180825"/>
      <w:r>
        <w:rPr>
          <w:rFonts w:hint="eastAsia" w:ascii="宋体" w:hAnsi="宋体" w:eastAsia="宋体" w:cs="宋体"/>
          <w:kern w:val="2"/>
          <w:sz w:val="21"/>
          <w:szCs w:val="21"/>
          <w:highlight w:val="none"/>
        </w:rPr>
        <w:t>1.5.1 施肥应根据树种、树龄、生长势和土壤理化性质而定。</w:t>
      </w:r>
      <w:bookmarkEnd w:id="680"/>
      <w:r>
        <w:rPr>
          <w:rFonts w:hint="eastAsia" w:ascii="宋体" w:hAnsi="宋体" w:eastAsia="宋体" w:cs="宋体"/>
          <w:kern w:val="2"/>
          <w:sz w:val="21"/>
          <w:szCs w:val="21"/>
          <w:highlight w:val="none"/>
        </w:rPr>
        <w:t>树木休眠期施基肥1次，生长期施追肥1-2次，花灌木花前、花后补施花肥。其中，乔木每年应施基肥、追肥各1次，花灌木每年应施基肥1次、追肥2次。花肥视开花次数而定。</w:t>
      </w:r>
    </w:p>
    <w:p w14:paraId="395F20B9">
      <w:pPr>
        <w:spacing w:line="360" w:lineRule="auto"/>
        <w:ind w:firstLine="420" w:firstLineChars="200"/>
        <w:rPr>
          <w:rFonts w:hint="eastAsia" w:ascii="宋体" w:hAnsi="宋体" w:eastAsia="宋体" w:cs="宋体"/>
          <w:kern w:val="2"/>
          <w:sz w:val="21"/>
          <w:szCs w:val="21"/>
          <w:highlight w:val="none"/>
        </w:rPr>
      </w:pPr>
      <w:bookmarkStart w:id="681" w:name="_Toc332180826"/>
      <w:r>
        <w:rPr>
          <w:rFonts w:hint="eastAsia" w:ascii="宋体" w:hAnsi="宋体" w:eastAsia="宋体" w:cs="宋体"/>
          <w:kern w:val="2"/>
          <w:sz w:val="21"/>
          <w:szCs w:val="21"/>
          <w:highlight w:val="none"/>
        </w:rPr>
        <w:t>1.5.2 基肥应采用腐熟有机肥，追肥应以磷肥、氮肥等多元复（混）合化肥为主。树木花前应施磷钾肥，花后适宜补充氮肥。</w:t>
      </w:r>
      <w:bookmarkEnd w:id="681"/>
      <w:r>
        <w:rPr>
          <w:rFonts w:hint="eastAsia" w:ascii="宋体" w:hAnsi="宋体" w:eastAsia="宋体" w:cs="宋体"/>
          <w:kern w:val="2"/>
          <w:sz w:val="21"/>
          <w:szCs w:val="21"/>
          <w:highlight w:val="none"/>
        </w:rPr>
        <w:t>；生长势衰弱的亚健康树木、古树名木等，提倡使用腐植酸肥料。树木花前宜施磷、钾肥，花后宜补施氮肥。</w:t>
      </w:r>
    </w:p>
    <w:p w14:paraId="6F131C85">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1.5.3 施肥量应视树木生长情况、土壤肥力而定。</w:t>
      </w:r>
    </w:p>
    <w:p w14:paraId="7B5EA849">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乔木基肥施用量：胸径小于等于10cm的，1-3kg/株；胸径大于10cm的，每增加10cm（以10cm为档距），在前一规格施用量的基础上增加50%。</w:t>
      </w:r>
    </w:p>
    <w:p w14:paraId="70868FFC">
      <w:pPr>
        <w:widowControl/>
        <w:adjustRightInd w:val="0"/>
        <w:snapToGrid w:val="0"/>
        <w:spacing w:line="360" w:lineRule="auto"/>
        <w:ind w:firstLine="420" w:firstLineChars="200"/>
        <w:rPr>
          <w:rFonts w:hint="eastAsia" w:ascii="宋体" w:hAnsi="宋体" w:eastAsia="宋体" w:cs="宋体"/>
          <w:kern w:val="0"/>
          <w:sz w:val="21"/>
          <w:szCs w:val="21"/>
          <w:highlight w:val="none"/>
          <w:lang w:eastAsia="zh-TW"/>
        </w:rPr>
      </w:pPr>
      <w:r>
        <w:rPr>
          <w:rFonts w:hint="eastAsia" w:ascii="宋体" w:hAnsi="宋体" w:eastAsia="宋体" w:cs="宋体"/>
          <w:kern w:val="0"/>
          <w:sz w:val="21"/>
          <w:szCs w:val="21"/>
          <w:highlight w:val="none"/>
          <w:lang w:eastAsia="zh-TW"/>
        </w:rPr>
        <w:t>乔木追肥施用量：胸径小于等于10cm的，0.5-1kg/株；胸径大于10cm的，每增加10cm（以10cm为档距），在前一规格施用量的基础上增加50%。</w:t>
      </w:r>
    </w:p>
    <w:p w14:paraId="198E29B6">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灌木基肥施用量：蓬径小于等于100cm的，0.5-1kg/株；蓬径大于100cm的，每增加50cm（以50cm为档距），在前一规格施用量的基础上增加50%。</w:t>
      </w:r>
    </w:p>
    <w:p w14:paraId="695E3B45">
      <w:pPr>
        <w:widowControl/>
        <w:adjustRightInd w:val="0"/>
        <w:snapToGrid w:val="0"/>
        <w:spacing w:line="360" w:lineRule="auto"/>
        <w:ind w:firstLine="420" w:firstLineChars="200"/>
        <w:rPr>
          <w:rFonts w:hint="eastAsia" w:ascii="宋体" w:hAnsi="宋体" w:eastAsia="宋体" w:cs="宋体"/>
          <w:kern w:val="0"/>
          <w:sz w:val="21"/>
          <w:szCs w:val="21"/>
          <w:highlight w:val="none"/>
          <w:lang w:eastAsia="zh-TW"/>
        </w:rPr>
      </w:pPr>
      <w:r>
        <w:rPr>
          <w:rFonts w:hint="eastAsia" w:ascii="宋体" w:hAnsi="宋体" w:eastAsia="宋体" w:cs="宋体"/>
          <w:kern w:val="0"/>
          <w:sz w:val="21"/>
          <w:szCs w:val="21"/>
          <w:highlight w:val="none"/>
          <w:lang w:eastAsia="zh-TW"/>
        </w:rPr>
        <w:t>灌木追肥施用量：蓬径小于等于100cm的，0.15-0.5kg/株；蓬径大于100cm的，每增加50cm（以50cm为档距），在前一规格施用量的基础上增加50%。</w:t>
      </w:r>
    </w:p>
    <w:p w14:paraId="4A453A19">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不同腐植酸肥料的施用量应按照产品建议施用量施用。</w:t>
      </w:r>
    </w:p>
    <w:p w14:paraId="054188EB">
      <w:pPr>
        <w:spacing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1.5.4 喜酸性植物应施用酸性有机肥。香樟、桅子花等植物出现黄化症状时间，应结合土壤改良，</w:t>
      </w:r>
      <w:r>
        <w:rPr>
          <w:rFonts w:hint="eastAsia" w:ascii="宋体" w:hAnsi="宋体" w:eastAsia="宋体" w:cs="宋体"/>
          <w:kern w:val="2"/>
          <w:sz w:val="21"/>
          <w:szCs w:val="21"/>
          <w:highlight w:val="none"/>
        </w:rPr>
        <w:t>酸化根际土壤并树干注射、叶片喷施铁肥</w:t>
      </w:r>
      <w:r>
        <w:rPr>
          <w:rFonts w:hint="eastAsia" w:ascii="宋体" w:hAnsi="宋体" w:eastAsia="宋体" w:cs="宋体"/>
          <w:kern w:val="0"/>
          <w:sz w:val="21"/>
          <w:szCs w:val="21"/>
          <w:highlight w:val="none"/>
        </w:rPr>
        <w:t>。</w:t>
      </w:r>
    </w:p>
    <w:p w14:paraId="1BB9FB57">
      <w:pPr>
        <w:spacing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1.5.5 追肥可采用沟施或穴施，深度不少于30cm，可按0.5% —1%浓度溶解施用，以不伤或少伤树根为准</w:t>
      </w:r>
      <w:r>
        <w:rPr>
          <w:rFonts w:hint="eastAsia" w:ascii="宋体" w:hAnsi="宋体" w:eastAsia="宋体" w:cs="宋体"/>
          <w:kern w:val="2"/>
          <w:sz w:val="21"/>
          <w:szCs w:val="21"/>
          <w:highlight w:val="none"/>
        </w:rPr>
        <w:t>；腐植酸肥料可采用树干注射。</w:t>
      </w:r>
    </w:p>
    <w:p w14:paraId="2539FFA8">
      <w:pPr>
        <w:spacing w:line="360" w:lineRule="auto"/>
        <w:ind w:firstLine="200"/>
        <w:jc w:val="center"/>
        <w:rPr>
          <w:rFonts w:hint="eastAsia" w:ascii="宋体" w:hAnsi="宋体" w:eastAsia="宋体" w:cs="宋体"/>
          <w:bCs/>
          <w:kern w:val="2"/>
          <w:sz w:val="21"/>
          <w:szCs w:val="21"/>
          <w:highlight w:val="none"/>
        </w:rPr>
      </w:pPr>
      <w:bookmarkStart w:id="682" w:name="_Toc332180827"/>
      <w:r>
        <w:rPr>
          <w:rFonts w:hint="eastAsia" w:ascii="宋体" w:hAnsi="宋体" w:eastAsia="宋体" w:cs="宋体"/>
          <w:bCs/>
          <w:kern w:val="2"/>
          <w:sz w:val="21"/>
          <w:szCs w:val="21"/>
          <w:highlight w:val="none"/>
        </w:rPr>
        <w:t>1.6 支撑、防护</w:t>
      </w:r>
      <w:bookmarkEnd w:id="682"/>
      <w:r>
        <w:rPr>
          <w:rFonts w:hint="eastAsia" w:ascii="宋体" w:hAnsi="宋体" w:eastAsia="宋体" w:cs="宋体"/>
          <w:bCs/>
          <w:kern w:val="2"/>
          <w:sz w:val="21"/>
          <w:szCs w:val="21"/>
          <w:highlight w:val="none"/>
        </w:rPr>
        <w:t>与涂白</w:t>
      </w:r>
    </w:p>
    <w:p w14:paraId="29F37221">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1.6.1 除特殊景观要求外，树木倾斜超过10°必须扶正，</w:t>
      </w:r>
      <w:r>
        <w:rPr>
          <w:rFonts w:hint="eastAsia" w:ascii="宋体" w:hAnsi="宋体" w:eastAsia="宋体" w:cs="宋体"/>
          <w:kern w:val="0"/>
          <w:sz w:val="21"/>
          <w:szCs w:val="21"/>
          <w:highlight w:val="none"/>
        </w:rPr>
        <w:t>落叶树在休眠期进行，常绿树在萌芽前进行。</w:t>
      </w:r>
      <w:r>
        <w:rPr>
          <w:rFonts w:hint="eastAsia" w:ascii="宋体" w:hAnsi="宋体" w:eastAsia="宋体" w:cs="宋体"/>
          <w:kern w:val="2"/>
          <w:sz w:val="21"/>
          <w:szCs w:val="21"/>
          <w:highlight w:val="none"/>
        </w:rPr>
        <w:t>扶正前应对土壤进行灌水，树冠进行梳枝和短截。</w:t>
      </w:r>
    </w:p>
    <w:p w14:paraId="6DCCEA31">
      <w:pPr>
        <w:spacing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2"/>
          <w:sz w:val="21"/>
          <w:szCs w:val="21"/>
          <w:highlight w:val="none"/>
        </w:rPr>
        <w:t>1.6.2 新种树木和扶正树木必须用支柱支撑。</w:t>
      </w:r>
      <w:r>
        <w:rPr>
          <w:rFonts w:hint="eastAsia" w:ascii="宋体" w:hAnsi="宋体" w:eastAsia="宋体" w:cs="宋体"/>
          <w:kern w:val="0"/>
          <w:sz w:val="21"/>
          <w:szCs w:val="21"/>
          <w:highlight w:val="none"/>
        </w:rPr>
        <w:t>支撑方式可采用扁担支撑和四角支撑。支柱材料应统一，支柱方式应规范、整齐。在着力点与树干接触处应铺垫软质材料。每年应对支柱进行一次全面检查</w:t>
      </w:r>
      <w:r>
        <w:rPr>
          <w:rFonts w:hint="eastAsia" w:ascii="宋体" w:hAnsi="宋体" w:eastAsia="宋体" w:cs="宋体"/>
          <w:kern w:val="2"/>
          <w:sz w:val="21"/>
          <w:szCs w:val="21"/>
          <w:highlight w:val="none"/>
        </w:rPr>
        <w:t>，破损或绑扎过紧应及时修复或重绑。</w:t>
      </w:r>
    </w:p>
    <w:p w14:paraId="38E91711">
      <w:pPr>
        <w:spacing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1.6.3 夏秋季节台风频繁时，应做好树木防台工作。台风前对过密枝条进行梳枝、剥芽，结合修剪，去除病枝、枯枝,做好树木加固支撑。风害后倾斜树木应及时扶正。挖松倾斜反向面的土，树冠相应疏枝。扶正树木，加土夯实,固定树身。</w:t>
      </w:r>
    </w:p>
    <w:p w14:paraId="585AC836">
      <w:pPr>
        <w:spacing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1.6.4 冬季极端气候时，应做好树木防寒、防雪工作。秋季少施氮肥，增施钾肥，增加植物抗寒性。根颈部加土，略呈馒头形，确保根颈部不受冻。及时对枝条过密，尤其是树冠浓密常绿乔灌木疏枝。对易断裂枝条进行支撑。及时清除过厚积雪。</w:t>
      </w:r>
    </w:p>
    <w:p w14:paraId="6C2C9DDA">
      <w:pPr>
        <w:spacing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 xml:space="preserve">1.6.5 </w:t>
      </w:r>
      <w:r>
        <w:rPr>
          <w:rFonts w:hint="eastAsia" w:ascii="宋体" w:hAnsi="宋体" w:eastAsia="宋体" w:cs="宋体"/>
          <w:kern w:val="2"/>
          <w:sz w:val="21"/>
          <w:szCs w:val="21"/>
          <w:highlight w:val="none"/>
        </w:rPr>
        <w:t>冬季越冬需要防寒的树木，</w:t>
      </w:r>
      <w:r>
        <w:rPr>
          <w:rFonts w:hint="eastAsia" w:ascii="宋体" w:hAnsi="宋体" w:eastAsia="宋体" w:cs="宋体"/>
          <w:kern w:val="0"/>
          <w:sz w:val="21"/>
          <w:szCs w:val="21"/>
          <w:highlight w:val="none"/>
        </w:rPr>
        <w:t>宜采用地面覆盖、包扎树体和树干涂白等防护措施。包扎树的材料可采用草绳或其它透气材料。</w:t>
      </w:r>
    </w:p>
    <w:p w14:paraId="3C5C3D0D">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1.6.6 树木树干涂白应于立冬前完成，树木涂白剂应稀稠均匀，涂白高度一致，不抛、洒、滴、漏；乔木及行道树涂白高度在1.3米左右，灌木涂白高度在1米左右。</w:t>
      </w:r>
    </w:p>
    <w:p w14:paraId="775EF86F">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1.6.7</w:t>
      </w:r>
      <w:r>
        <w:rPr>
          <w:rFonts w:hint="eastAsia" w:ascii="宋体" w:hAnsi="宋体" w:eastAsia="宋体" w:cs="宋体"/>
          <w:kern w:val="0"/>
          <w:sz w:val="21"/>
          <w:szCs w:val="21"/>
          <w:highlight w:val="none"/>
        </w:rPr>
        <w:t xml:space="preserve"> 涂白剂推荐配方为：</w:t>
      </w:r>
      <w:r>
        <w:rPr>
          <w:rFonts w:hint="eastAsia" w:ascii="宋体" w:hAnsi="宋体" w:eastAsia="宋体" w:cs="宋体"/>
          <w:kern w:val="2"/>
          <w:sz w:val="21"/>
          <w:szCs w:val="21"/>
          <w:highlight w:val="none"/>
        </w:rPr>
        <w:t>生石灰8kg，硫磺1kg，食盐1kg，动(植)物油0.1kg，热水18kg。配制方法：先用热水将生石灰与食盐溶化，然后将石灰乳和食盐水混合，加入硫磺和油脂充分搅匀即成。</w:t>
      </w:r>
    </w:p>
    <w:p w14:paraId="3A834011">
      <w:pPr>
        <w:spacing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1.6.8 长势衰弱树木应采取复壮措施：修平断枝、枯枝，清理创口，消毒防腐；改良土壤立地条件，清理修补树洞；枯烂树身应做支撑。</w:t>
      </w:r>
    </w:p>
    <w:p w14:paraId="1D0014C2">
      <w:pPr>
        <w:spacing w:line="360" w:lineRule="auto"/>
        <w:ind w:firstLine="200"/>
        <w:jc w:val="center"/>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1.7  切边和留积水穴</w:t>
      </w:r>
    </w:p>
    <w:p w14:paraId="294B75F7">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1.7.1 绿地内的树木应视情况和需要，在树木根部外20-50cm处切边或留出积水穴，宽度和深度不超过15cm。</w:t>
      </w:r>
    </w:p>
    <w:p w14:paraId="0DB850B3">
      <w:pPr>
        <w:spacing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2"/>
          <w:sz w:val="21"/>
          <w:szCs w:val="21"/>
          <w:highlight w:val="none"/>
        </w:rPr>
        <w:t>1.7.2 切边和积水穴应流畅圆润，其内种植土应细碎平整。</w:t>
      </w:r>
    </w:p>
    <w:p w14:paraId="69BF1775">
      <w:pPr>
        <w:spacing w:line="360" w:lineRule="auto"/>
        <w:ind w:firstLine="200"/>
        <w:jc w:val="center"/>
        <w:rPr>
          <w:rFonts w:hint="eastAsia" w:ascii="宋体" w:hAnsi="宋体" w:eastAsia="宋体" w:cs="宋体"/>
          <w:bCs/>
          <w:kern w:val="2"/>
          <w:sz w:val="21"/>
          <w:szCs w:val="21"/>
          <w:highlight w:val="none"/>
        </w:rPr>
      </w:pPr>
      <w:bookmarkStart w:id="683" w:name="_Toc332180829"/>
      <w:r>
        <w:rPr>
          <w:rFonts w:hint="eastAsia" w:ascii="宋体" w:hAnsi="宋体" w:eastAsia="宋体" w:cs="宋体"/>
          <w:bCs/>
          <w:kern w:val="2"/>
          <w:sz w:val="21"/>
          <w:szCs w:val="21"/>
          <w:highlight w:val="none"/>
        </w:rPr>
        <w:t>1.8 复壮、补植与调整</w:t>
      </w:r>
    </w:p>
    <w:p w14:paraId="2EE5E43E">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1.8.1 长势衰弱的树木应采取复壮措施。修剪断枝、枯枝，清理创口，消毒防腐；改良土壤条件，清理修补树洞；枯烂树身应做支撑或伐除更新。</w:t>
      </w:r>
    </w:p>
    <w:p w14:paraId="6142FBF2">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1.8.2 树木长势衰弱且濒临死亡的，应进行复壮；无复壮价值的，应及时更换。</w:t>
      </w:r>
    </w:p>
    <w:p w14:paraId="2403DDA6">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1.8.3 树木因土壤污染造成长势不良且濒临死亡的，树木更换前应换土。</w:t>
      </w:r>
    </w:p>
    <w:p w14:paraId="082F5C9F">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1.8.4 树木因栽植过密，缺乏光照和生长空间而造成长势不良的，原则上应移植或疏除。</w:t>
      </w:r>
    </w:p>
    <w:p w14:paraId="5BF05991">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1.8.5 抽稀植株应遵行“留大去小、留强去弱”的原则，并注意保持与周围环境的协调。</w:t>
      </w:r>
    </w:p>
    <w:p w14:paraId="1B9B68F5">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1.8.6 死树需连根挖除；抽稀、挖除死树所留下的空穴应及时填平。</w:t>
      </w:r>
    </w:p>
    <w:p w14:paraId="2D13F61C">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1.8.7 移除和更换苗木时，应重视对周围植物的保护。</w:t>
      </w:r>
    </w:p>
    <w:p w14:paraId="2B0549A0">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1.8.8 树木的补植和调整应规范手续，有专门台帐记录。</w:t>
      </w:r>
    </w:p>
    <w:p w14:paraId="0A9BFA1F">
      <w:pPr>
        <w:pStyle w:val="471"/>
        <w:spacing w:line="360" w:lineRule="auto"/>
        <w:ind w:left="5250" w:firstLine="200"/>
        <w:jc w:val="both"/>
        <w:rPr>
          <w:rFonts w:hint="eastAsia" w:ascii="宋体" w:hAnsi="宋体" w:eastAsia="宋体" w:cs="宋体"/>
          <w:kern w:val="0"/>
          <w:sz w:val="21"/>
          <w:szCs w:val="21"/>
          <w:highlight w:val="none"/>
        </w:rPr>
      </w:pPr>
    </w:p>
    <w:p w14:paraId="62973E06">
      <w:pPr>
        <w:pStyle w:val="471"/>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2、行道树</w:t>
      </w:r>
    </w:p>
    <w:p w14:paraId="2844D219">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养护管理内容包括：浇灌与排水，整形与修剪，病虫害防治，松土与除草，施肥，支撑、防护与涂白，切边和留积水穴，树池管理，复壮、补植与调整等。</w:t>
      </w:r>
    </w:p>
    <w:p w14:paraId="48600CBF">
      <w:pPr>
        <w:pStyle w:val="471"/>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2.1 浇灌与排水</w:t>
      </w:r>
    </w:p>
    <w:p w14:paraId="22BB602F">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参照1.1执行。对于种植了书带草、色块等地被植物的树穴，浇水时应先对树穴进行打洞，以浇透为宜；对于未种植地被植物且土壤严重板结的树穴，浇水前应对树穴进行松土。浇水时间应避开行人、车辆上下班高峰期间及夏季高温时段。</w:t>
      </w:r>
    </w:p>
    <w:p w14:paraId="0D046CD1">
      <w:pPr>
        <w:pStyle w:val="471"/>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2.2  整形与修剪</w:t>
      </w:r>
    </w:p>
    <w:p w14:paraId="6A0938C4">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2.2.1 行道树的树冠应保持完整，分叉点一致，并依据树种、栽植地点的架空线路及交通状况等选择适宜的树形，净空高度应大于4米。在无机动车辆通行的道路或狭窄的巷道，以及种植上方没有架空线路时，宜采用中央领导干形或自然树形。主干道及一般干道上，宜采用杯状形、自然开心形。同一条道路修剪手法应一致，树冠圆整，树形美观，骨架均匀，通风透光。</w:t>
      </w:r>
    </w:p>
    <w:p w14:paraId="53FB0E60">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杯状形行道树的整形。在主干一定高度处留3-5个主枝向四面均匀配列，各主枝与主干的角度约45度，在各主枝上适当留二级分枝，在二级分枝上留三级分枝，依次类推，即形成杯状形树冠，常在法桐、国槐行道树采用。定干高度通常为3-3</w:t>
      </w:r>
      <w:r>
        <w:rPr>
          <w:rFonts w:hint="eastAsia" w:ascii="宋体" w:hAnsi="宋体" w:eastAsia="宋体" w:cs="宋体"/>
          <w:kern w:val="2"/>
          <w:sz w:val="21"/>
          <w:szCs w:val="21"/>
          <w:highlight w:val="none"/>
          <w:lang w:val="en-GB"/>
        </w:rPr>
        <w:t>.</w:t>
      </w:r>
      <w:r>
        <w:rPr>
          <w:rFonts w:hint="eastAsia" w:ascii="宋体" w:hAnsi="宋体" w:eastAsia="宋体" w:cs="宋体"/>
          <w:kern w:val="2"/>
          <w:sz w:val="21"/>
          <w:szCs w:val="21"/>
          <w:highlight w:val="none"/>
        </w:rPr>
        <w:t>5m，在其截干顶端均匀地保留三个主枝，在壮芽处进行中截，冬季可在每个主枝中选两个侧枝短截作为二级分枝；次年冬季，在二级分枝上选两个枝条短截为三级分枝，则可形成“三股六叉十二枝”的杯状形造型。剪口留外向芽，主干延长枝选用角度开张的壮枝。在选留枝条和选取剪口部位时，必须要把握二级分枝弱于主枝、三级分枝弱于二级分枝。</w:t>
      </w:r>
    </w:p>
    <w:p w14:paraId="4700B367">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自然开心形行道树的整形。不留中央领导干而留多数主枝配列四方，在主枝上每年留出主枝延长枝，并于主枝侧方留出二级分枝、三级分枝，二、三级分枝应处于主枝间的空隙处。以香樟、楝树行道树为例，定干高度通常在2.5-3m之间。主干达到要求高度后，宜在主干顶部留3-5个主枝并短截，剪口处留内向芽。翌年，及时抹除主干、主枝上的萌芽，每个主枝上只留向上生长的枝条2-3个，并短截，依此即可形成斜向上的枝干结构。</w:t>
      </w:r>
    </w:p>
    <w:p w14:paraId="64238B4F">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中央领导干形行道树的整形。留一强大的中央领导干，在其上配列疏散的主枝。以雪松、马褂木、银杏行道树为例，当栽植苗为截干苗时，采用接干法，即在主干顶部选一个生长健壮、较直立的侧枝作为主干延长枝培养，剪除角度小、对主干延长枝有竞争力的枝条。冬季，视主干延长枝的生长情况采取适当修剪措施，若其生长健壮，只需疏除过密、交叉的侧枝，翌年任其自然生长，及时短截与主干延长枝产生竞争的侧枝，即可形成有中央领导干的树冠；若其生长较弱，应从基部剪除全部侧枝，并将主干延长枝短截，翌年，再选一健壮直立的侧枝作为主干延长枝培养，直至树冠成形。</w:t>
      </w:r>
    </w:p>
    <w:p w14:paraId="6A10C31D">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w:t>
      </w:r>
      <w:r>
        <w:rPr>
          <w:rFonts w:hint="eastAsia" w:ascii="宋体" w:hAnsi="宋体" w:eastAsia="宋体" w:cs="宋体"/>
          <w:spacing w:val="-4"/>
          <w:kern w:val="2"/>
          <w:sz w:val="21"/>
          <w:szCs w:val="21"/>
          <w:highlight w:val="none"/>
        </w:rPr>
        <w:t>成形树生长季节修剪。选用轻剪或疏除的办法，及时对干枯枝、病虫枝、细弱枝、下垂枝、交叉枝、空中挂枝等进行修剪；同时兼顾树枝与路灯、供电线路、交通指示牌、周边建筑屋檐等之间的关系，做到上不挂各类线路、下不妨碍交通、旁不影响建筑。</w:t>
      </w:r>
    </w:p>
    <w:p w14:paraId="487413A1">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w:t>
      </w:r>
      <w:r>
        <w:rPr>
          <w:rFonts w:hint="eastAsia" w:ascii="宋体" w:hAnsi="宋体" w:eastAsia="宋体" w:cs="宋体"/>
          <w:spacing w:val="-4"/>
          <w:kern w:val="2"/>
          <w:sz w:val="21"/>
          <w:szCs w:val="21"/>
          <w:highlight w:val="none"/>
        </w:rPr>
        <w:t>冬季回缩修剪。为降低行道树顶端优势位置，促多年生枝条基部更新复壮，可采用冬季回缩修剪方法。以老龄法桐为例，回缩时间在每年的12月至次年的2月，可结合冬季修剪同步进行。对较大的树枝和树干修剪时，可采用分步作业法，即先在离要求锯口上方20cm处，从枝条下方向上锯一切口，深度为枝干粗度的一半，从上方将枝干锯断，留下一条残桩，然后从锯口处锯除残桩，以避免枝干劈裂。回缩后及时对锯口用20%的硫酸铜溶液消毒，最后涂上保护剂(保护蜡、调和漆等)，以起到防腐防干和促进愈合的作用。</w:t>
      </w:r>
    </w:p>
    <w:p w14:paraId="1E1B1C6D">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2.2.2  剥芽。</w:t>
      </w:r>
      <w:r>
        <w:rPr>
          <w:rFonts w:hint="eastAsia" w:ascii="宋体" w:hAnsi="宋体" w:eastAsia="宋体" w:cs="宋体"/>
          <w:spacing w:val="-4"/>
          <w:kern w:val="2"/>
          <w:sz w:val="21"/>
          <w:szCs w:val="21"/>
          <w:highlight w:val="none"/>
        </w:rPr>
        <w:t>行道树生长季节要经常剥芽，不同树种剥芽次数及剥芽部位存在一定的差异。法桐等落叶树通常在每年的4月下旬起，每半月一次，至10月中旬基本结束；香樟等常绿树木一般在每年的5月起，一月三次，芽长不应超过6cm。剥芽时不应倒拉，以免伤及树皮。</w:t>
      </w:r>
    </w:p>
    <w:p w14:paraId="04B47EFD">
      <w:pPr>
        <w:spacing w:line="360" w:lineRule="auto"/>
        <w:ind w:firstLine="420" w:firstLineChars="200"/>
        <w:rPr>
          <w:rFonts w:hint="eastAsia" w:ascii="宋体" w:hAnsi="宋体" w:eastAsia="宋体" w:cs="宋体"/>
          <w:spacing w:val="-6"/>
          <w:kern w:val="2"/>
          <w:sz w:val="21"/>
          <w:szCs w:val="21"/>
          <w:highlight w:val="none"/>
        </w:rPr>
      </w:pPr>
      <w:r>
        <w:rPr>
          <w:rFonts w:hint="eastAsia" w:ascii="宋体" w:hAnsi="宋体" w:eastAsia="宋体" w:cs="宋体"/>
          <w:kern w:val="2"/>
          <w:sz w:val="21"/>
          <w:szCs w:val="21"/>
          <w:highlight w:val="none"/>
        </w:rPr>
        <w:t xml:space="preserve">2.2.3 </w:t>
      </w:r>
      <w:r>
        <w:rPr>
          <w:rFonts w:hint="eastAsia" w:ascii="宋体" w:hAnsi="宋体" w:eastAsia="宋体" w:cs="宋体"/>
          <w:spacing w:val="-6"/>
          <w:kern w:val="2"/>
          <w:sz w:val="21"/>
          <w:szCs w:val="21"/>
          <w:highlight w:val="none"/>
        </w:rPr>
        <w:t>清除死膀及枯枝。行道树由于受生长空间的限制，至一定年份容易形成荫梢现象，并产生枯枝，加上修剪切口常年受风吹雨淋极易产生死膀。日常养护除结合修剪工作外，应在每年台风及梅雨季节来临时，及时清除，并对新产生的截面切口，涂抹防腐剂。</w:t>
      </w:r>
    </w:p>
    <w:p w14:paraId="32238F0A">
      <w:pPr>
        <w:pStyle w:val="471"/>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2.3病虫害防治</w:t>
      </w:r>
    </w:p>
    <w:p w14:paraId="1BA81549">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2.3.1 单株行道树枝叶受害率应小于8%，树干受害率应小于3%。</w:t>
      </w:r>
    </w:p>
    <w:p w14:paraId="61EDC45F">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2.3.2 行道树病虫害可通过喷药、捕杀、挖蛹、刮树皮、树干涂白等方法进行防治。行道树病虫害防治重点需做好天牛蛀干害虫、刺蛾、重阳木锦斑蛾及红蜡蚧等食叶害虫及藤壶蚧等各类蚧壳虫的防治。病虫枝、干、叶应集中销毁。其中，天牛防治应在每年的6月下旬开始，主要采用人工捕捉，并在虫粪口涂塞粘有敌敌畏等农药的棉花，或在树干喷绿色威雷杀虫剂等方法，该项工作应延续至每年的9月份，通常每半月一次；刺蛾通常在每年的六月至九月发生,主要采用药物防治及生物防治；各类蚧壳虫应从每年的5月开始监控，抓住若虫孵化期，采用喷施花保、吡虫啉等药剂防治，大型乔木错过若虫期还可采用树体针剂来达到防治效果；重阳木锦斑蛾在每年的6-11月发生，主要采用灭幼脲、高效氯氰菊酯、甲维盐等药剂喷雾防治。冬季可采用树干涂白、挖蛹、刮树皮等方法，以消灭各种越冬虫源，病虫枝、干、叶应采用集中火烧或深埋等办法，以减轻次年害虫危害。</w:t>
      </w:r>
    </w:p>
    <w:p w14:paraId="710E50C0">
      <w:pPr>
        <w:pStyle w:val="471"/>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2.4施肥</w:t>
      </w:r>
    </w:p>
    <w:p w14:paraId="11F4635C">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行道树施肥分基肥、追肥二类。基肥一般在冬季进行，追肥以根部穴施复合肥为主。一般每年施肥两次，条件限制时每年至少施追肥一次，每次每株平均施肥1kg左右。对于穴施确有困难的，应采取液态肥树干注射、地面打孔或使用棒肥等方法进行。</w:t>
      </w:r>
    </w:p>
    <w:p w14:paraId="0B46D0F2">
      <w:pPr>
        <w:pStyle w:val="471"/>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2.5支撑、防护与涂白</w:t>
      </w:r>
    </w:p>
    <w:p w14:paraId="64DE81A2">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2.5.1 支撑。行道树树干基本挺直，倾斜度10度以上的树应小于1%。幼年行道树，应设立支柱进行加固，当出现机械车辆撞击或台风侵袭造成树木严重倾斜时，可切除部分长根，进行重植。成年行道树出现上述情况时，应采取平衡树冠法，即对向一侧倾斜的树冠进行重截，并设立支撑物向其相对方向进行支撑。对倾斜老树应逐年控制倾斜度，并扶正、支撑。</w:t>
      </w:r>
    </w:p>
    <w:p w14:paraId="25EC587E">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2.5.2 防护与涂白。每年的初冬，对行道树进行根际培土、主干包扎、涂白等抗冻处理。发生枝叶积雪应及时清除，有倒伏危险的树木应立支撑保护。出现树洞应及时修补、封实，以防止腐朽进一步扩大。台风季节，应做好行道树抗风暴的预防工作，根据树木的实际情况，采取立支柱、绑扎、覆土、扶正、疏枝、打地桩等综合措施；一旦风暴来临，应及时检查，发现问题，妥善处理。对于严重倒伏、就地种植难以成活的树木，应将树冠重剪后送苗圃种植养护。</w:t>
      </w:r>
    </w:p>
    <w:p w14:paraId="2CC71C14">
      <w:pPr>
        <w:pStyle w:val="471"/>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2.6补植</w:t>
      </w:r>
    </w:p>
    <w:p w14:paraId="433F3CE9">
      <w:pPr>
        <w:spacing w:line="360" w:lineRule="auto"/>
        <w:ind w:firstLine="396" w:firstLineChars="200"/>
        <w:rPr>
          <w:rFonts w:hint="eastAsia" w:ascii="宋体" w:hAnsi="宋体" w:eastAsia="宋体" w:cs="宋体"/>
          <w:spacing w:val="-6"/>
          <w:kern w:val="2"/>
          <w:sz w:val="21"/>
          <w:szCs w:val="21"/>
          <w:highlight w:val="none"/>
        </w:rPr>
      </w:pPr>
      <w:r>
        <w:rPr>
          <w:rFonts w:hint="eastAsia" w:ascii="宋体" w:hAnsi="宋体" w:eastAsia="宋体" w:cs="宋体"/>
          <w:spacing w:val="-6"/>
          <w:kern w:val="2"/>
          <w:sz w:val="21"/>
          <w:szCs w:val="21"/>
          <w:highlight w:val="none"/>
        </w:rPr>
        <w:t>2.6.1 行道树出现枯死，种植期间应及时补种，非种植期间（5月至9月）应及时连根挖除并填平树穴。</w:t>
      </w:r>
    </w:p>
    <w:p w14:paraId="0EFEE6AC">
      <w:pPr>
        <w:spacing w:line="360" w:lineRule="auto"/>
        <w:ind w:firstLine="396" w:firstLineChars="200"/>
        <w:rPr>
          <w:rFonts w:hint="eastAsia" w:ascii="宋体" w:hAnsi="宋体" w:eastAsia="宋体" w:cs="宋体"/>
          <w:spacing w:val="-6"/>
          <w:kern w:val="2"/>
          <w:sz w:val="21"/>
          <w:szCs w:val="21"/>
          <w:highlight w:val="none"/>
        </w:rPr>
      </w:pPr>
      <w:r>
        <w:rPr>
          <w:rFonts w:hint="eastAsia" w:ascii="宋体" w:hAnsi="宋体" w:eastAsia="宋体" w:cs="宋体"/>
          <w:spacing w:val="-6"/>
          <w:kern w:val="2"/>
          <w:sz w:val="21"/>
          <w:szCs w:val="21"/>
          <w:highlight w:val="none"/>
        </w:rPr>
        <w:t xml:space="preserve">2.6.2 补植树木应选用同品种、同规格的大苗，原则上常绿乔木胸径不超过12厘米，落叶乔木胸径不超过15厘米。要加强养护，确保成活。 </w:t>
      </w:r>
    </w:p>
    <w:p w14:paraId="42318B35">
      <w:pPr>
        <w:pStyle w:val="471"/>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2.7其它养护</w:t>
      </w:r>
    </w:p>
    <w:p w14:paraId="0F07F192">
      <w:pPr>
        <w:spacing w:line="360" w:lineRule="auto"/>
        <w:ind w:firstLine="404" w:firstLineChars="200"/>
        <w:rPr>
          <w:rFonts w:hint="eastAsia" w:ascii="宋体" w:hAnsi="宋体" w:eastAsia="宋体" w:cs="宋体"/>
          <w:spacing w:val="-4"/>
          <w:kern w:val="2"/>
          <w:sz w:val="21"/>
          <w:szCs w:val="21"/>
          <w:highlight w:val="none"/>
        </w:rPr>
      </w:pPr>
      <w:r>
        <w:rPr>
          <w:rFonts w:hint="eastAsia" w:ascii="宋体" w:hAnsi="宋体" w:eastAsia="宋体" w:cs="宋体"/>
          <w:spacing w:val="-4"/>
          <w:kern w:val="2"/>
          <w:sz w:val="21"/>
          <w:szCs w:val="21"/>
          <w:highlight w:val="none"/>
        </w:rPr>
        <w:t>行道树树穴形式应保持统一，盖板或覆盖物完整，无空缺、垃圾及杂草；种植地被的树穴，地被生长良好。</w:t>
      </w:r>
    </w:p>
    <w:p w14:paraId="68C08515">
      <w:pPr>
        <w:spacing w:line="360" w:lineRule="auto"/>
        <w:ind w:firstLine="449" w:firstLineChars="214"/>
        <w:rPr>
          <w:rFonts w:hint="eastAsia" w:ascii="宋体" w:hAnsi="宋体" w:eastAsia="宋体" w:cs="宋体"/>
          <w:spacing w:val="-4"/>
          <w:kern w:val="2"/>
          <w:sz w:val="21"/>
          <w:szCs w:val="21"/>
          <w:highlight w:val="none"/>
        </w:rPr>
      </w:pPr>
      <w:r>
        <w:rPr>
          <w:rFonts w:hint="eastAsia" w:ascii="宋体" w:hAnsi="宋体" w:eastAsia="宋体" w:cs="宋体"/>
          <w:kern w:val="2"/>
          <w:sz w:val="21"/>
          <w:szCs w:val="21"/>
          <w:highlight w:val="none"/>
        </w:rPr>
        <w:t>松土与除草、切边和留积水穴、复壮与调整等</w:t>
      </w:r>
      <w:r>
        <w:rPr>
          <w:rFonts w:hint="eastAsia" w:ascii="宋体" w:hAnsi="宋体" w:eastAsia="宋体" w:cs="宋体"/>
          <w:spacing w:val="-4"/>
          <w:kern w:val="2"/>
          <w:sz w:val="21"/>
          <w:szCs w:val="21"/>
          <w:highlight w:val="none"/>
        </w:rPr>
        <w:t>养护内容，参见1树木（乔木、灌木）的对应内容。</w:t>
      </w:r>
    </w:p>
    <w:p w14:paraId="06ED36F7">
      <w:pPr>
        <w:pStyle w:val="471"/>
        <w:spacing w:line="360" w:lineRule="auto"/>
        <w:jc w:val="center"/>
        <w:rPr>
          <w:rFonts w:hint="eastAsia" w:ascii="宋体" w:hAnsi="宋体" w:eastAsia="宋体" w:cs="宋体"/>
          <w:kern w:val="0"/>
          <w:sz w:val="21"/>
          <w:szCs w:val="21"/>
          <w:highlight w:val="none"/>
        </w:rPr>
      </w:pPr>
    </w:p>
    <w:p w14:paraId="035503CF">
      <w:pPr>
        <w:pStyle w:val="471"/>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3、古树名木和古树后续资源</w:t>
      </w:r>
    </w:p>
    <w:p w14:paraId="1CAD2861">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针对古树名木和古树后续资源（以下简称古树）生长环境的变化和古树生长的特点，实现科学管理和养护。参照3树木的要求，对古树进行日常养护管理，并做好控制生长环境、防护与支撑、复壮等养护管理工作。</w:t>
      </w:r>
    </w:p>
    <w:p w14:paraId="13A7E5AF">
      <w:pPr>
        <w:pStyle w:val="471"/>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3.1控制生长环境</w:t>
      </w:r>
    </w:p>
    <w:p w14:paraId="3359AB50">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0"/>
          <w:sz w:val="21"/>
          <w:szCs w:val="21"/>
          <w:highlight w:val="none"/>
        </w:rPr>
        <w:t>3</w:t>
      </w:r>
      <w:r>
        <w:rPr>
          <w:rFonts w:hint="eastAsia" w:ascii="宋体" w:hAnsi="宋体" w:eastAsia="宋体" w:cs="宋体"/>
          <w:kern w:val="2"/>
          <w:sz w:val="21"/>
          <w:szCs w:val="21"/>
          <w:highlight w:val="none"/>
        </w:rPr>
        <w:t>.1.1 应处理好古树与周围其它植物之间的关系。除对古树生长有利的部分植物可适量保留外，必须对古树周围生长的阔叶树、速生树、杂灌木和杂草进行控制。</w:t>
      </w:r>
    </w:p>
    <w:p w14:paraId="15A4333B">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——在松柏类古树周围严禁种植核桃树、接骨木、榆树，以避免对其生长产生抑制作用。可适量保留壳斗科树种如栎、槲等，以利菌根菌的活动，促进古树生长。</w:t>
      </w:r>
    </w:p>
    <w:p w14:paraId="0C533AF9">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——在坡林地环境生长的古树，应有下木和地被植物伴生的自然生态环境。应对坡坎进行加固，防止水土流失；平地古树林地可适时适地栽种豆科等伴生地被植物。</w:t>
      </w:r>
    </w:p>
    <w:p w14:paraId="4BF48BBA">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0"/>
          <w:sz w:val="21"/>
          <w:szCs w:val="21"/>
          <w:highlight w:val="none"/>
        </w:rPr>
        <w:t>3</w:t>
      </w:r>
      <w:r>
        <w:rPr>
          <w:rFonts w:hint="eastAsia" w:ascii="宋体" w:hAnsi="宋体" w:eastAsia="宋体" w:cs="宋体"/>
          <w:kern w:val="2"/>
          <w:sz w:val="21"/>
          <w:szCs w:val="21"/>
          <w:highlight w:val="none"/>
        </w:rPr>
        <w:t>.1.2 应保持古树周围环境的清洁。</w:t>
      </w:r>
    </w:p>
    <w:p w14:paraId="32A0E250">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0"/>
          <w:sz w:val="21"/>
          <w:szCs w:val="21"/>
          <w:highlight w:val="none"/>
        </w:rPr>
        <w:t>3</w:t>
      </w:r>
      <w:r>
        <w:rPr>
          <w:rFonts w:hint="eastAsia" w:ascii="宋体" w:hAnsi="宋体" w:eastAsia="宋体" w:cs="宋体"/>
          <w:kern w:val="2"/>
          <w:sz w:val="21"/>
          <w:szCs w:val="21"/>
          <w:highlight w:val="none"/>
        </w:rPr>
        <w:t>.1.3 古树浇灌不宜使用再生水。</w:t>
      </w:r>
    </w:p>
    <w:p w14:paraId="3088460C">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0"/>
          <w:sz w:val="21"/>
          <w:szCs w:val="21"/>
          <w:highlight w:val="none"/>
        </w:rPr>
        <w:t>3</w:t>
      </w:r>
      <w:r>
        <w:rPr>
          <w:rFonts w:hint="eastAsia" w:ascii="宋体" w:hAnsi="宋体" w:eastAsia="宋体" w:cs="宋体"/>
          <w:kern w:val="2"/>
          <w:sz w:val="21"/>
          <w:szCs w:val="21"/>
          <w:highlight w:val="none"/>
        </w:rPr>
        <w:t xml:space="preserve">.1.4 古树的病虫害防治工作参照3.3执行。 </w:t>
      </w:r>
    </w:p>
    <w:p w14:paraId="49F91523">
      <w:pPr>
        <w:pStyle w:val="471"/>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3.2防护与支撑</w:t>
      </w:r>
    </w:p>
    <w:p w14:paraId="48700A3C">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0"/>
          <w:sz w:val="21"/>
          <w:szCs w:val="21"/>
          <w:highlight w:val="none"/>
        </w:rPr>
        <w:t>3</w:t>
      </w:r>
      <w:r>
        <w:rPr>
          <w:rFonts w:hint="eastAsia" w:ascii="宋体" w:hAnsi="宋体" w:eastAsia="宋体" w:cs="宋体"/>
          <w:kern w:val="2"/>
          <w:sz w:val="21"/>
          <w:szCs w:val="21"/>
          <w:highlight w:val="none"/>
        </w:rPr>
        <w:t>.2.1 应因地制宜地设置围栏保护古树。一级古树及生长在公园绿地或人流较大、易受毁坏的二级古树名木应设置保护围栏，围栏与树干距离不得少于2米。特殊条件下无法达到2米的，以人接触不到树干为最低要求。</w:t>
      </w:r>
    </w:p>
    <w:p w14:paraId="6E13334A">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0"/>
          <w:sz w:val="21"/>
          <w:szCs w:val="21"/>
          <w:highlight w:val="none"/>
        </w:rPr>
        <w:t>3</w:t>
      </w:r>
      <w:r>
        <w:rPr>
          <w:rFonts w:hint="eastAsia" w:ascii="宋体" w:hAnsi="宋体" w:eastAsia="宋体" w:cs="宋体"/>
          <w:kern w:val="2"/>
          <w:sz w:val="21"/>
          <w:szCs w:val="21"/>
          <w:highlight w:val="none"/>
        </w:rPr>
        <w:t xml:space="preserve">.2.2 在古树保护范围内，禁止动土或铺砌不透气材料。对处于施工范围内的古树，必须事先在其保护范围边缘采取保护措施。 </w:t>
      </w:r>
    </w:p>
    <w:p w14:paraId="08CA8250">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0"/>
          <w:sz w:val="21"/>
          <w:szCs w:val="21"/>
          <w:highlight w:val="none"/>
        </w:rPr>
        <w:t>3</w:t>
      </w:r>
      <w:r>
        <w:rPr>
          <w:rFonts w:hint="eastAsia" w:ascii="宋体" w:hAnsi="宋体" w:eastAsia="宋体" w:cs="宋体"/>
          <w:kern w:val="2"/>
          <w:sz w:val="21"/>
          <w:szCs w:val="21"/>
          <w:highlight w:val="none"/>
        </w:rPr>
        <w:t xml:space="preserve">.2.3 在古树根系分布范围内，严禁设置临时厨房或厕所等有污染气体、液体的设施和排放污水的渗沟；严禁在树下堆放污染古树根系、土壤的物品，如石灰、撒过盐的积雪、人粪尿、垃圾、废料、污水等。 </w:t>
      </w:r>
    </w:p>
    <w:p w14:paraId="430E98FE">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0"/>
          <w:sz w:val="21"/>
          <w:szCs w:val="21"/>
          <w:highlight w:val="none"/>
        </w:rPr>
        <w:t>3</w:t>
      </w:r>
      <w:r>
        <w:rPr>
          <w:rFonts w:hint="eastAsia" w:ascii="宋体" w:hAnsi="宋体" w:eastAsia="宋体" w:cs="宋体"/>
          <w:kern w:val="2"/>
          <w:sz w:val="21"/>
          <w:szCs w:val="21"/>
          <w:highlight w:val="none"/>
        </w:rPr>
        <w:t>.2.4 严禁在树体上钉钉子、绕铁丝、拴挂杂物或作为施工的支撑点。严禁攀折、刮蹭和刻划树皮等伤害古树的行为。</w:t>
      </w:r>
    </w:p>
    <w:p w14:paraId="689B3EE1">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0"/>
          <w:sz w:val="21"/>
          <w:szCs w:val="21"/>
          <w:highlight w:val="none"/>
        </w:rPr>
        <w:t>3</w:t>
      </w:r>
      <w:r>
        <w:rPr>
          <w:rFonts w:hint="eastAsia" w:ascii="宋体" w:hAnsi="宋体" w:eastAsia="宋体" w:cs="宋体"/>
          <w:kern w:val="2"/>
          <w:sz w:val="21"/>
          <w:szCs w:val="21"/>
          <w:highlight w:val="none"/>
        </w:rPr>
        <w:t xml:space="preserve">.2.5 古树名木应保持其原貌，对枯枝、树洞等应采取防腐处理。需修剪的应制定修剪方案，报主管部门批准后实施。古树树体上的伤疤或空洞应及时填充修补，防止进水腐烂。 </w:t>
      </w:r>
    </w:p>
    <w:p w14:paraId="24BD5403">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0"/>
          <w:sz w:val="21"/>
          <w:szCs w:val="21"/>
          <w:highlight w:val="none"/>
        </w:rPr>
        <w:t>3</w:t>
      </w:r>
      <w:r>
        <w:rPr>
          <w:rFonts w:hint="eastAsia" w:ascii="宋体" w:hAnsi="宋体" w:eastAsia="宋体" w:cs="宋体"/>
          <w:kern w:val="2"/>
          <w:sz w:val="21"/>
          <w:szCs w:val="21"/>
          <w:highlight w:val="none"/>
        </w:rPr>
        <w:t xml:space="preserve">.2.6 古树树体及大枝有倾倒、劈裂或折断的可能时，应及时采取加固或支撑等保护措施。 </w:t>
      </w:r>
    </w:p>
    <w:p w14:paraId="3ADDEFBB">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0"/>
          <w:sz w:val="21"/>
          <w:szCs w:val="21"/>
          <w:highlight w:val="none"/>
        </w:rPr>
        <w:t>3</w:t>
      </w:r>
      <w:r>
        <w:rPr>
          <w:rFonts w:hint="eastAsia" w:ascii="宋体" w:hAnsi="宋体" w:eastAsia="宋体" w:cs="宋体"/>
          <w:kern w:val="2"/>
          <w:sz w:val="21"/>
          <w:szCs w:val="21"/>
          <w:highlight w:val="none"/>
        </w:rPr>
        <w:t xml:space="preserve">.2.7 对高大树体应安装避雷装置，以防雷击。 </w:t>
      </w:r>
    </w:p>
    <w:p w14:paraId="2BBE4B5A">
      <w:pPr>
        <w:pStyle w:val="471"/>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3.3复壮</w:t>
      </w:r>
    </w:p>
    <w:p w14:paraId="6672268D">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古树复壮要吸收和运用新的研究成果，制定科学合理的技术方案，并经专家论证，按照规定程序审批后，在园林部门监督下由专业部门实施。</w:t>
      </w:r>
    </w:p>
    <w:bookmarkEnd w:id="683"/>
    <w:p w14:paraId="3FDC44E5">
      <w:pPr>
        <w:pStyle w:val="471"/>
        <w:spacing w:line="360" w:lineRule="auto"/>
        <w:ind w:firstLine="200"/>
        <w:jc w:val="both"/>
        <w:rPr>
          <w:rFonts w:hint="eastAsia" w:ascii="宋体" w:hAnsi="宋体" w:eastAsia="宋体" w:cs="宋体"/>
          <w:spacing w:val="-10"/>
          <w:kern w:val="0"/>
          <w:sz w:val="21"/>
          <w:szCs w:val="21"/>
          <w:highlight w:val="none"/>
        </w:rPr>
      </w:pPr>
      <w:bookmarkStart w:id="684" w:name="_Toc214769690"/>
      <w:bookmarkStart w:id="685" w:name="_Toc214702948"/>
    </w:p>
    <w:p w14:paraId="5FBF23DF">
      <w:pPr>
        <w:pStyle w:val="471"/>
        <w:spacing w:line="360" w:lineRule="auto"/>
        <w:jc w:val="center"/>
        <w:rPr>
          <w:rFonts w:hint="eastAsia" w:ascii="宋体" w:hAnsi="宋体" w:eastAsia="宋体" w:cs="宋体"/>
          <w:spacing w:val="-10"/>
          <w:kern w:val="0"/>
          <w:sz w:val="21"/>
          <w:szCs w:val="21"/>
          <w:highlight w:val="none"/>
        </w:rPr>
      </w:pPr>
      <w:r>
        <w:rPr>
          <w:rFonts w:hint="eastAsia" w:ascii="宋体" w:hAnsi="宋体" w:eastAsia="宋体" w:cs="宋体"/>
          <w:spacing w:val="-10"/>
          <w:kern w:val="0"/>
          <w:sz w:val="21"/>
          <w:szCs w:val="21"/>
          <w:highlight w:val="none"/>
        </w:rPr>
        <w:t>4、绿篱、模纹、色块、球类和其它造型植物（灌木类）</w:t>
      </w:r>
    </w:p>
    <w:p w14:paraId="62CEED19">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养护管理内容包括：浇灌与排水、整形与修剪、病虫害防治、除草与切边、施肥、补植等。</w:t>
      </w:r>
    </w:p>
    <w:p w14:paraId="5613BC79">
      <w:pPr>
        <w:pStyle w:val="471"/>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4.1  浇灌与排水</w:t>
      </w:r>
    </w:p>
    <w:p w14:paraId="534E75F5">
      <w:pPr>
        <w:spacing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2"/>
          <w:sz w:val="21"/>
          <w:szCs w:val="21"/>
          <w:highlight w:val="none"/>
        </w:rPr>
        <w:t>4.1.1 根据气候、土壤墒情、植物习性等适时、适量浇灌，每年浇水不少于20次。5月至10月期间，连续7天无降雨应浇透水1次，冬季休眠前浇防冻水至少1次，道路机非隔离带绿化应适时冲淋去尘。</w:t>
      </w:r>
    </w:p>
    <w:p w14:paraId="5F97269D">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4.1.2 土壤含水量应保持在70%左右，叶片萎蔫时应及时浇水。</w:t>
      </w:r>
    </w:p>
    <w:p w14:paraId="394FB137">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4.1.3每年春季树木萌发前要浇春水至少1次，冬季休眠前浇防冻水至少1次。夏季浇水适宜在清晨，冬季浇水适宜在中午。</w:t>
      </w:r>
    </w:p>
    <w:p w14:paraId="597CB0A8">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4.1.4暴雨、梅雨季节应开沟排水，防止积水。根部积水应及时排出，耐涝性差的树木应该在2小时内排除积水，低洼易积水处应设置排水沟。</w:t>
      </w:r>
    </w:p>
    <w:p w14:paraId="3888AFB7">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4.1.5  开花期前应适当增加浇水量。</w:t>
      </w:r>
    </w:p>
    <w:p w14:paraId="4C07E6C5">
      <w:pPr>
        <w:pStyle w:val="471"/>
        <w:spacing w:line="360" w:lineRule="auto"/>
        <w:jc w:val="center"/>
        <w:rPr>
          <w:rFonts w:hint="eastAsia" w:ascii="宋体" w:hAnsi="宋体" w:eastAsia="宋体" w:cs="宋体"/>
          <w:kern w:val="0"/>
          <w:sz w:val="21"/>
          <w:szCs w:val="21"/>
          <w:highlight w:val="none"/>
        </w:rPr>
      </w:pPr>
      <w:bookmarkStart w:id="686" w:name="_Toc332180831"/>
      <w:r>
        <w:rPr>
          <w:rFonts w:hint="eastAsia" w:ascii="宋体" w:hAnsi="宋体" w:eastAsia="宋体" w:cs="宋体"/>
          <w:kern w:val="0"/>
          <w:sz w:val="21"/>
          <w:szCs w:val="21"/>
          <w:highlight w:val="none"/>
        </w:rPr>
        <w:t>4.2整形与修剪</w:t>
      </w:r>
      <w:bookmarkEnd w:id="686"/>
    </w:p>
    <w:p w14:paraId="5BDD4CBF">
      <w:pPr>
        <w:spacing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2"/>
          <w:sz w:val="21"/>
          <w:szCs w:val="21"/>
          <w:highlight w:val="none"/>
        </w:rPr>
        <w:t>4.2.1 绿篱、模纹、色块、球类和其它造型植物（灌木类），应按原设计的造型或规定的形状和高度修剪。以生长期修剪为主，休眠期修剪为辅，无缺株、枯枝，残花率应小于3%。每年应修剪8次以上，4月下旬至10月中旬，每3周左右修剪1次。</w:t>
      </w:r>
    </w:p>
    <w:p w14:paraId="314BF0F2">
      <w:pPr>
        <w:spacing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2"/>
          <w:sz w:val="21"/>
          <w:szCs w:val="21"/>
          <w:highlight w:val="none"/>
        </w:rPr>
        <w:t>4</w:t>
      </w:r>
      <w:r>
        <w:rPr>
          <w:rFonts w:hint="eastAsia" w:ascii="宋体" w:hAnsi="宋体" w:eastAsia="宋体" w:cs="宋体"/>
          <w:kern w:val="0"/>
          <w:sz w:val="21"/>
          <w:szCs w:val="21"/>
          <w:highlight w:val="none"/>
        </w:rPr>
        <w:t xml:space="preserve">.2.2 </w:t>
      </w:r>
      <w:r>
        <w:rPr>
          <w:rFonts w:hint="eastAsia" w:ascii="宋体" w:hAnsi="宋体" w:eastAsia="宋体" w:cs="宋体"/>
          <w:kern w:val="2"/>
          <w:sz w:val="21"/>
          <w:szCs w:val="21"/>
          <w:highlight w:val="none"/>
        </w:rPr>
        <w:t>规则式绿篱、模纹（色块）修剪</w:t>
      </w:r>
      <w:r>
        <w:rPr>
          <w:rFonts w:hint="eastAsia" w:ascii="宋体" w:hAnsi="宋体" w:eastAsia="宋体" w:cs="宋体"/>
          <w:kern w:val="0"/>
          <w:sz w:val="21"/>
          <w:szCs w:val="21"/>
          <w:highlight w:val="none"/>
        </w:rPr>
        <w:t>，</w:t>
      </w:r>
      <w:r>
        <w:rPr>
          <w:rFonts w:hint="eastAsia" w:ascii="宋体" w:hAnsi="宋体" w:eastAsia="宋体" w:cs="宋体"/>
          <w:kern w:val="2"/>
          <w:sz w:val="21"/>
          <w:szCs w:val="21"/>
          <w:highlight w:val="none"/>
        </w:rPr>
        <w:t>应保持顶部和基部水平，</w:t>
      </w:r>
      <w:r>
        <w:rPr>
          <w:rFonts w:hint="eastAsia" w:ascii="宋体" w:hAnsi="宋体" w:eastAsia="宋体" w:cs="宋体"/>
          <w:kern w:val="0"/>
          <w:sz w:val="21"/>
          <w:szCs w:val="21"/>
          <w:highlight w:val="none"/>
        </w:rPr>
        <w:t>做到无断层、无缺口、无光秃，轮廓线应流畅、柔和；两个品种以上连片种植时，修剪时应注意相互间衔接，保证平顺缓和过度</w:t>
      </w:r>
      <w:r>
        <w:rPr>
          <w:rFonts w:hint="eastAsia" w:ascii="宋体" w:hAnsi="宋体" w:eastAsia="宋体" w:cs="宋体"/>
          <w:kern w:val="2"/>
          <w:sz w:val="21"/>
          <w:szCs w:val="21"/>
          <w:highlight w:val="none"/>
        </w:rPr>
        <w:t>。</w:t>
      </w:r>
    </w:p>
    <w:p w14:paraId="435A845F">
      <w:pPr>
        <w:spacing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2"/>
          <w:sz w:val="21"/>
          <w:szCs w:val="21"/>
          <w:highlight w:val="none"/>
        </w:rPr>
        <w:t>4</w:t>
      </w:r>
      <w:r>
        <w:rPr>
          <w:rFonts w:hint="eastAsia" w:ascii="宋体" w:hAnsi="宋体" w:eastAsia="宋体" w:cs="宋体"/>
          <w:kern w:val="0"/>
          <w:sz w:val="21"/>
          <w:szCs w:val="21"/>
          <w:highlight w:val="none"/>
        </w:rPr>
        <w:t>.2.3 自然式绿篱修剪，轮廓线应自然丰满。幼年以定干整形为主，成年以促进开花和结实为主。</w:t>
      </w:r>
    </w:p>
    <w:p w14:paraId="642A5292">
      <w:pPr>
        <w:spacing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2"/>
          <w:sz w:val="21"/>
          <w:szCs w:val="21"/>
          <w:highlight w:val="none"/>
        </w:rPr>
        <w:t>4</w:t>
      </w:r>
      <w:r>
        <w:rPr>
          <w:rFonts w:hint="eastAsia" w:ascii="宋体" w:hAnsi="宋体" w:eastAsia="宋体" w:cs="宋体"/>
          <w:kern w:val="0"/>
          <w:sz w:val="21"/>
          <w:szCs w:val="21"/>
          <w:highlight w:val="none"/>
        </w:rPr>
        <w:t>.2.4 规则式绿篱修剪后新梢生长超过10cm时，应进行第二次修剪，</w:t>
      </w:r>
      <w:r>
        <w:rPr>
          <w:rFonts w:hint="eastAsia" w:ascii="宋体" w:hAnsi="宋体" w:eastAsia="宋体" w:cs="宋体"/>
          <w:kern w:val="2"/>
          <w:sz w:val="21"/>
          <w:szCs w:val="21"/>
          <w:highlight w:val="none"/>
        </w:rPr>
        <w:t>红叶石楠等色叶植物应在新梢木质化后修剪</w:t>
      </w:r>
    </w:p>
    <w:p w14:paraId="1E991806">
      <w:pPr>
        <w:spacing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2"/>
          <w:sz w:val="21"/>
          <w:szCs w:val="21"/>
          <w:highlight w:val="none"/>
        </w:rPr>
        <w:t>4</w:t>
      </w:r>
      <w:r>
        <w:rPr>
          <w:rFonts w:hint="eastAsia" w:ascii="宋体" w:hAnsi="宋体" w:eastAsia="宋体" w:cs="宋体"/>
          <w:kern w:val="0"/>
          <w:sz w:val="21"/>
          <w:szCs w:val="21"/>
          <w:highlight w:val="none"/>
        </w:rPr>
        <w:t>.2.5 植株生长过密或病虫害发生严重的应及时进行疏枝修剪。</w:t>
      </w:r>
    </w:p>
    <w:p w14:paraId="33381631">
      <w:pPr>
        <w:spacing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2"/>
          <w:sz w:val="21"/>
          <w:szCs w:val="21"/>
          <w:highlight w:val="none"/>
        </w:rPr>
        <w:t>4</w:t>
      </w:r>
      <w:r>
        <w:rPr>
          <w:rFonts w:hint="eastAsia" w:ascii="宋体" w:hAnsi="宋体" w:eastAsia="宋体" w:cs="宋体"/>
          <w:kern w:val="0"/>
          <w:sz w:val="21"/>
          <w:szCs w:val="21"/>
          <w:highlight w:val="none"/>
        </w:rPr>
        <w:t>.2.6 当生长高度影响景观效果或影响交通安全时，宜在休眠期进行强度修剪。</w:t>
      </w:r>
    </w:p>
    <w:p w14:paraId="12B43441">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0"/>
          <w:sz w:val="21"/>
          <w:szCs w:val="21"/>
          <w:highlight w:val="none"/>
        </w:rPr>
        <w:t>4.2.7</w:t>
      </w:r>
      <w:r>
        <w:rPr>
          <w:rFonts w:hint="eastAsia" w:ascii="宋体" w:hAnsi="宋体" w:eastAsia="宋体" w:cs="宋体"/>
          <w:kern w:val="2"/>
          <w:sz w:val="21"/>
          <w:szCs w:val="21"/>
          <w:highlight w:val="none"/>
        </w:rPr>
        <w:t>造景树修剪以及时修剪、长枝短截、密枝疏剪为修剪基本原则。松类树种在芽刚萌发时摘心、摘芽，控制新枝长度，以保持优美的树姿。</w:t>
      </w:r>
    </w:p>
    <w:p w14:paraId="039B6BDD">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——摘心。造景树应控制其生长高度，促使侧枝平展，可摘去其枝梢嫩头。</w:t>
      </w:r>
    </w:p>
    <w:p w14:paraId="48643745">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——摘芽。造景树在其干基或干上生长出许多不定芽时，应随时摘除，以免萌生叉枝，特别是榆树，易产生不定芽，更应注意摘芽。</w:t>
      </w:r>
    </w:p>
    <w:p w14:paraId="4641E653">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——摘叶。观叶造景树通过摘叶措施，可使树木一年发几次新叶，鲜艳悦目，提高其观赏效果。</w:t>
      </w:r>
    </w:p>
    <w:p w14:paraId="5B942C64">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——修枝。修枝方式应根据树形来确定，如云片状树枝，将枝条修剪成平整状。对于萌发力强的树种，以修剪为主。修剪时, 首先将平行枝、交叉枝、重叠枝、对生枝、轮生枝等进行疏剪或结合攀扎进行改造。当留下的枝干培养到粗度适合时，就可进行强度的剪截，使生出第二节枝，待第二节枝长到粗度适合时，又加剪截，依次第三、第四节，如此施行。一般第一枝上留两个小枝，一长一短，经多年修剪后则枝干苍劲有力，逐步形成树冠。</w:t>
      </w:r>
    </w:p>
    <w:p w14:paraId="6E30C148">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——攀扎。松柏类及萌发力弱的树种，一般以攀扎为主。即通过金属丝或棕丝等攀扎材料，将树木枝干弯曲成各种形状。</w:t>
      </w:r>
    </w:p>
    <w:p w14:paraId="4C7C227B">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bCs/>
          <w:kern w:val="2"/>
          <w:sz w:val="21"/>
          <w:szCs w:val="21"/>
          <w:highlight w:val="none"/>
        </w:rPr>
        <w:t>金属丝法。</w:t>
      </w:r>
      <w:r>
        <w:rPr>
          <w:rFonts w:hint="eastAsia" w:ascii="宋体" w:hAnsi="宋体" w:eastAsia="宋体" w:cs="宋体"/>
          <w:kern w:val="2"/>
          <w:sz w:val="21"/>
          <w:szCs w:val="21"/>
          <w:highlight w:val="none"/>
        </w:rPr>
        <w:t>一般选用14-24号金属丝（根据所攀扎枝干的粗度选用）。攀扎时，先将金属丝一端固定在枝干的基部或交叉处，然后紧贴树皮徐徐缠绕，使金属丝与枝干约成45度角。如要将枝干向右扭旋下弯，金属丝则按顺时针方向缠绕，反之，则按逆时针方向缠绕。注意边扭边弯曲，才能使金属丝紧贴树木，同时枝干也不易断裂。对石榴、红枫等一些皮薄易受损伤的树种，可先用麻皮包卷枝干，然后再攀扎金属丝。对于两根基部相差不远的侧枝，可使用一根金属丝缠绕。 在一根枝上如有重复的金属丝缠绕时，须注意缠绕方向的一致，尽量避免交叉。</w:t>
      </w:r>
    </w:p>
    <w:p w14:paraId="783E6366">
      <w:pPr>
        <w:tabs>
          <w:tab w:val="left" w:pos="567"/>
        </w:tabs>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bCs/>
          <w:kern w:val="2"/>
          <w:sz w:val="21"/>
          <w:szCs w:val="21"/>
          <w:highlight w:val="none"/>
        </w:rPr>
        <w:t>棕丝扎法。</w:t>
      </w:r>
      <w:r>
        <w:rPr>
          <w:rFonts w:hint="eastAsia" w:ascii="宋体" w:hAnsi="宋体" w:eastAsia="宋体" w:cs="宋体"/>
          <w:kern w:val="2"/>
          <w:sz w:val="21"/>
          <w:szCs w:val="21"/>
          <w:highlight w:val="none"/>
        </w:rPr>
        <w:t>先将棕丝捻成不同粗细的麻绳，将棕绳的中段缚住需弯曲枝干的下端（或打过套结），将两头相互绞几下，放在需要弯曲的枝干的上端，打一活结，再将枝干徐徐弯曲至所需弧度，收紧棕绳打成死结，即完成一个弯曲。一般弯曲不宜过分，否则易失去自然形态。棕丝攀扎的关键在于掌握好力点。要根据造型的需要，选择下棕与打结的位置。棕丝绑扎的顺序：先扎树干，后扎枝叶；扎枝叶时，先扎顶部后扎下部；每扎一个部分时，先扎大枝再扎小枝；扎根枝（干）时，从基部到梢部。无论采用金属丝或棕丝绑扎，一般要在一年以后拆除。</w:t>
      </w:r>
    </w:p>
    <w:p w14:paraId="09CF6A99">
      <w:pPr>
        <w:tabs>
          <w:tab w:val="left" w:pos="567"/>
        </w:tabs>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——雕凿。对于松柏类及体量较大的造景树，为了显示树木苍古，有时可用锋利的工具对树干进行雕凿，并剥去部分树皮，甚至将树干劈去一半，但不可露出人工斧凿痕迹。</w:t>
      </w:r>
    </w:p>
    <w:p w14:paraId="5BFB3601">
      <w:pPr>
        <w:spacing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2"/>
          <w:sz w:val="21"/>
          <w:szCs w:val="21"/>
          <w:highlight w:val="none"/>
        </w:rPr>
        <w:t>——遮荫。一些喜荫的造型树木，如罗汉松、五针松等，在夏季高温强光下，应采取遮荫措施。</w:t>
      </w:r>
    </w:p>
    <w:p w14:paraId="264C4B5C">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4.2.7 修剪下来的枝、叶等废弃物，应及时清运，保证环境整洁；有病虫害的枝、叶等应及时集中进行无害化处理，防止病虫害蔓延。</w:t>
      </w:r>
    </w:p>
    <w:p w14:paraId="1CCAEF48">
      <w:pPr>
        <w:pStyle w:val="471"/>
        <w:spacing w:line="360" w:lineRule="auto"/>
        <w:jc w:val="center"/>
        <w:rPr>
          <w:rFonts w:hint="eastAsia" w:ascii="宋体" w:hAnsi="宋体" w:eastAsia="宋体" w:cs="宋体"/>
          <w:kern w:val="0"/>
          <w:sz w:val="21"/>
          <w:szCs w:val="21"/>
          <w:highlight w:val="none"/>
        </w:rPr>
      </w:pPr>
      <w:bookmarkStart w:id="687" w:name="_Toc332180832"/>
      <w:r>
        <w:rPr>
          <w:rFonts w:hint="eastAsia" w:ascii="宋体" w:hAnsi="宋体" w:eastAsia="宋体" w:cs="宋体"/>
          <w:kern w:val="0"/>
          <w:sz w:val="21"/>
          <w:szCs w:val="21"/>
          <w:highlight w:val="none"/>
        </w:rPr>
        <w:t>4.3病虫害防治</w:t>
      </w:r>
      <w:bookmarkEnd w:id="687"/>
    </w:p>
    <w:p w14:paraId="5CB3E032">
      <w:pPr>
        <w:spacing w:line="360" w:lineRule="auto"/>
        <w:ind w:firstLine="420" w:firstLineChars="200"/>
        <w:rPr>
          <w:rFonts w:hint="eastAsia" w:ascii="宋体" w:hAnsi="宋体" w:eastAsia="宋体" w:cs="宋体"/>
          <w:kern w:val="2"/>
          <w:sz w:val="21"/>
          <w:szCs w:val="21"/>
          <w:highlight w:val="none"/>
        </w:rPr>
      </w:pPr>
      <w:bookmarkStart w:id="688" w:name="_Toc332180833"/>
      <w:r>
        <w:rPr>
          <w:rFonts w:hint="eastAsia" w:ascii="宋体" w:hAnsi="宋体" w:eastAsia="宋体" w:cs="宋体"/>
          <w:kern w:val="2"/>
          <w:sz w:val="21"/>
          <w:szCs w:val="21"/>
          <w:highlight w:val="none"/>
        </w:rPr>
        <w:t>参照1.3执行。</w:t>
      </w:r>
    </w:p>
    <w:p w14:paraId="64A2BF03">
      <w:pPr>
        <w:pStyle w:val="471"/>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4.4除草和切边</w:t>
      </w:r>
      <w:bookmarkEnd w:id="688"/>
    </w:p>
    <w:p w14:paraId="531D1985">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4.4.1 除草应除早、除小，及时去除大型恶性杂草及杂树，其它杂草控制在不影响景观效果的范围内。杂草、杂树不得高于绿篱、模纹（色块）植物；造型灌木上应及时去除大型蔓性藤本杂草。杂草以人工拔除为主，适当采用生物防治、化学防治措施，每年清除杂草15次以上，其中，5月至10月期间，每15天要清除杂草1次。</w:t>
      </w:r>
    </w:p>
    <w:p w14:paraId="1CBAEDF3">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4.4.2 绿篱、模纹、色块、造型灌木边缘，与地被、草坪结合处应进行切边处理，宽度和深度以15cm为宜。</w:t>
      </w:r>
    </w:p>
    <w:p w14:paraId="69F17446">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4.4.3 切边应流畅圆润，其内种植土应细碎平整。</w:t>
      </w:r>
    </w:p>
    <w:p w14:paraId="558B7357">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4.4.4 及时清运杂草，保证环境整洁。</w:t>
      </w:r>
    </w:p>
    <w:p w14:paraId="6224EAF7">
      <w:pPr>
        <w:pStyle w:val="471"/>
        <w:spacing w:line="360" w:lineRule="auto"/>
        <w:jc w:val="center"/>
        <w:rPr>
          <w:rFonts w:hint="eastAsia" w:ascii="宋体" w:hAnsi="宋体" w:eastAsia="宋体" w:cs="宋体"/>
          <w:kern w:val="0"/>
          <w:sz w:val="21"/>
          <w:szCs w:val="21"/>
          <w:highlight w:val="none"/>
        </w:rPr>
      </w:pPr>
      <w:bookmarkStart w:id="689" w:name="_Toc332180834"/>
      <w:r>
        <w:rPr>
          <w:rFonts w:hint="eastAsia" w:ascii="宋体" w:hAnsi="宋体" w:eastAsia="宋体" w:cs="宋体"/>
          <w:kern w:val="0"/>
          <w:sz w:val="21"/>
          <w:szCs w:val="21"/>
          <w:highlight w:val="none"/>
        </w:rPr>
        <w:t>4.5施肥</w:t>
      </w:r>
      <w:bookmarkEnd w:id="689"/>
    </w:p>
    <w:p w14:paraId="73A12593">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4.5.1 视植物生长状况，适时、适量进行施肥。</w:t>
      </w:r>
    </w:p>
    <w:p w14:paraId="16DB18E9">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4.5.2 提倡使用有机肥和复（混）合肥料。</w:t>
      </w:r>
    </w:p>
    <w:p w14:paraId="23409DDC">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4.5.3 每年施基肥不少于1次，追肥不少于3次。花灌木品种应适当增加施肥次数。</w:t>
      </w:r>
    </w:p>
    <w:p w14:paraId="40955257">
      <w:pPr>
        <w:spacing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2"/>
          <w:sz w:val="21"/>
          <w:szCs w:val="21"/>
          <w:highlight w:val="none"/>
        </w:rPr>
        <w:t>4.5.4 基肥施用量为</w:t>
      </w:r>
      <w:r>
        <w:rPr>
          <w:rFonts w:hint="eastAsia" w:ascii="宋体" w:hAnsi="宋体" w:eastAsia="宋体" w:cs="宋体"/>
          <w:kern w:val="0"/>
          <w:sz w:val="21"/>
          <w:szCs w:val="21"/>
          <w:highlight w:val="none"/>
        </w:rPr>
        <w:t>0.5kg/㎡；施追肥一般按0.5%-1%浓度的溶解液施用，肥料施用量不超过30g/㎡。</w:t>
      </w:r>
    </w:p>
    <w:p w14:paraId="65BB2C0A">
      <w:pPr>
        <w:spacing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2"/>
          <w:sz w:val="21"/>
          <w:szCs w:val="21"/>
          <w:highlight w:val="none"/>
        </w:rPr>
        <w:t>4</w:t>
      </w:r>
      <w:r>
        <w:rPr>
          <w:rFonts w:hint="eastAsia" w:ascii="宋体" w:hAnsi="宋体" w:eastAsia="宋体" w:cs="宋体"/>
          <w:kern w:val="0"/>
          <w:sz w:val="21"/>
          <w:szCs w:val="21"/>
          <w:highlight w:val="none"/>
        </w:rPr>
        <w:t>.5.5 撒施化肥后应及时充分浇水，肥料不得粘在花、叶上，以免灼伤叶片。</w:t>
      </w:r>
    </w:p>
    <w:p w14:paraId="2F55CBFB">
      <w:pPr>
        <w:pStyle w:val="471"/>
        <w:spacing w:line="360" w:lineRule="auto"/>
        <w:jc w:val="center"/>
        <w:rPr>
          <w:rFonts w:hint="eastAsia" w:ascii="宋体" w:hAnsi="宋体" w:eastAsia="宋体" w:cs="宋体"/>
          <w:kern w:val="0"/>
          <w:sz w:val="21"/>
          <w:szCs w:val="21"/>
          <w:highlight w:val="none"/>
        </w:rPr>
      </w:pPr>
      <w:bookmarkStart w:id="690" w:name="_Toc332180835"/>
      <w:r>
        <w:rPr>
          <w:rFonts w:hint="eastAsia" w:ascii="宋体" w:hAnsi="宋体" w:eastAsia="宋体" w:cs="宋体"/>
          <w:kern w:val="0"/>
          <w:sz w:val="21"/>
          <w:szCs w:val="21"/>
          <w:highlight w:val="none"/>
        </w:rPr>
        <w:t>4.6补植</w:t>
      </w:r>
      <w:bookmarkEnd w:id="690"/>
    </w:p>
    <w:p w14:paraId="6E35709F">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4.6.1 绿篱和造型灌木死亡、缺株或空秃面积大于0.5㎡后应进行补植。</w:t>
      </w:r>
    </w:p>
    <w:p w14:paraId="11AD3E3A">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4.6.2 补植的植物应与原植物品种和规格接近。</w:t>
      </w:r>
    </w:p>
    <w:p w14:paraId="1D4A7E4F">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4.6.3 落叶植物补植应该植物落叶后土壤结冻前进行；常绿植物补植应在土壤解冻后，新芽萌发前进行。</w:t>
      </w:r>
    </w:p>
    <w:p w14:paraId="479875DE">
      <w:pPr>
        <w:pStyle w:val="471"/>
        <w:spacing w:line="360" w:lineRule="auto"/>
        <w:jc w:val="center"/>
        <w:rPr>
          <w:rFonts w:hint="eastAsia" w:ascii="宋体" w:hAnsi="宋体" w:eastAsia="宋体" w:cs="宋体"/>
          <w:kern w:val="0"/>
          <w:sz w:val="21"/>
          <w:szCs w:val="21"/>
          <w:highlight w:val="none"/>
        </w:rPr>
      </w:pPr>
      <w:bookmarkStart w:id="691" w:name="_Toc332180870"/>
      <w:r>
        <w:rPr>
          <w:rFonts w:hint="eastAsia" w:ascii="宋体" w:hAnsi="宋体" w:eastAsia="宋体" w:cs="宋体"/>
          <w:kern w:val="0"/>
          <w:sz w:val="21"/>
          <w:szCs w:val="21"/>
          <w:highlight w:val="none"/>
        </w:rPr>
        <w:t>5、水生植物养护</w:t>
      </w:r>
      <w:bookmarkEnd w:id="691"/>
    </w:p>
    <w:p w14:paraId="09CB368D">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养护管理内容包括：控制水位和换水、清理与分株、病虫害防治、施肥、除草与灭苔等。</w:t>
      </w:r>
    </w:p>
    <w:p w14:paraId="69C2D1C5">
      <w:pPr>
        <w:pStyle w:val="471"/>
        <w:spacing w:line="360" w:lineRule="auto"/>
        <w:jc w:val="center"/>
        <w:rPr>
          <w:rFonts w:hint="eastAsia" w:ascii="宋体" w:hAnsi="宋体" w:eastAsia="宋体" w:cs="宋体"/>
          <w:kern w:val="0"/>
          <w:sz w:val="21"/>
          <w:szCs w:val="21"/>
          <w:highlight w:val="none"/>
        </w:rPr>
      </w:pPr>
      <w:bookmarkStart w:id="692" w:name="_Toc332180871"/>
      <w:r>
        <w:rPr>
          <w:rFonts w:hint="eastAsia" w:ascii="宋体" w:hAnsi="宋体" w:eastAsia="宋体" w:cs="宋体"/>
          <w:kern w:val="0"/>
          <w:sz w:val="21"/>
          <w:szCs w:val="21"/>
          <w:highlight w:val="none"/>
        </w:rPr>
        <w:t>5.1 控制水位和换水</w:t>
      </w:r>
    </w:p>
    <w:p w14:paraId="719216FA">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5.1</w:t>
      </w:r>
      <w:bookmarkEnd w:id="692"/>
      <w:r>
        <w:rPr>
          <w:rFonts w:hint="eastAsia" w:ascii="宋体" w:hAnsi="宋体" w:eastAsia="宋体" w:cs="宋体"/>
          <w:kern w:val="2"/>
          <w:sz w:val="21"/>
          <w:szCs w:val="21"/>
          <w:highlight w:val="none"/>
        </w:rPr>
        <w:t>.1 及时调整和控制水生植物正常生长水位。苗期水适当，保持浅水层，分蘖期浅水勤灌，后期适时排水。漂浮植物须保持足够的水深使其漂浮；沉水植物水深必须超过植株，使茎叶自然伸展；水边植物保持土壤湿润、稍呈积水状态；挺水植物须保持50-100cm左右的水深；浮水植物水位高低须依茎梗长短调整，使叶浮于水面呈自然状态。</w:t>
      </w:r>
    </w:p>
    <w:p w14:paraId="660B45AD">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5.1.2 为避免蚊虫孳生或水质恶化，当用水发生混浊时，必须换水，夏季则须增加换水次数。</w:t>
      </w:r>
    </w:p>
    <w:p w14:paraId="3C3EB905">
      <w:pPr>
        <w:pStyle w:val="471"/>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5.2清理与分株</w:t>
      </w:r>
    </w:p>
    <w:p w14:paraId="1D1288E2">
      <w:pPr>
        <w:spacing w:line="360" w:lineRule="auto"/>
        <w:ind w:firstLine="420" w:firstLineChars="200"/>
        <w:rPr>
          <w:rFonts w:hint="eastAsia" w:ascii="宋体" w:hAnsi="宋体" w:eastAsia="宋体" w:cs="宋体"/>
          <w:kern w:val="2"/>
          <w:sz w:val="21"/>
          <w:szCs w:val="21"/>
          <w:highlight w:val="none"/>
        </w:rPr>
      </w:pPr>
      <w:bookmarkStart w:id="693" w:name="_Toc332180872"/>
      <w:r>
        <w:rPr>
          <w:rFonts w:hint="eastAsia" w:ascii="宋体" w:hAnsi="宋体" w:eastAsia="宋体" w:cs="宋体"/>
          <w:kern w:val="2"/>
          <w:sz w:val="21"/>
          <w:szCs w:val="21"/>
          <w:highlight w:val="none"/>
        </w:rPr>
        <w:t>5.2.1 不耐寒而干枯的水生植物，应在冬季枯黄后清除泥上部分。</w:t>
      </w:r>
    </w:p>
    <w:p w14:paraId="4819A788">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5.2.2 多年生耐寒水生植物，应在每年2月底新芽长出前剪除泥上部分。</w:t>
      </w:r>
    </w:p>
    <w:p w14:paraId="12C90852">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5.2.3 及时清除枯枝残叶及杂物。</w:t>
      </w:r>
    </w:p>
    <w:p w14:paraId="4EEACE26">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5.2.4 因病虫害等原因死亡的植株应及时清理。</w:t>
      </w:r>
    </w:p>
    <w:p w14:paraId="6C92B35B">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5.2.5 同一水池中混合栽植各类水生植物，必须定时疏除繁殖过快的种类，以免覆满水面，影响其它水生植物的生长。</w:t>
      </w:r>
    </w:p>
    <w:p w14:paraId="378E389A">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5.2.6 浮水植物过大，叶面互相遮盖时，必须进行分株，一般3至4年分1次株。</w:t>
      </w:r>
    </w:p>
    <w:p w14:paraId="00263653">
      <w:pPr>
        <w:pStyle w:val="471"/>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5.3施肥</w:t>
      </w:r>
      <w:bookmarkEnd w:id="693"/>
    </w:p>
    <w:p w14:paraId="0776F7F4">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5.3.1 注重早期施肥，施足基肥，春、秋各进行一次追肥，尽量利用低水位时补肥。</w:t>
      </w:r>
    </w:p>
    <w:p w14:paraId="7E8266A5">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5.3.2 施肥不应污染水质，合理配置氮、磷、钾。</w:t>
      </w:r>
    </w:p>
    <w:p w14:paraId="6EC6D8EE">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7.3.3 盆栽水生植物应在冬季连盆拿出水面，并在开春移入水池前10天补施1次基肥，待其新叶长出后再移入水中。</w:t>
      </w:r>
    </w:p>
    <w:p w14:paraId="053022E8">
      <w:pPr>
        <w:pStyle w:val="471"/>
        <w:spacing w:line="360" w:lineRule="auto"/>
        <w:jc w:val="center"/>
        <w:rPr>
          <w:rFonts w:hint="eastAsia" w:ascii="宋体" w:hAnsi="宋体" w:eastAsia="宋体" w:cs="宋体"/>
          <w:kern w:val="0"/>
          <w:sz w:val="21"/>
          <w:szCs w:val="21"/>
          <w:highlight w:val="none"/>
        </w:rPr>
      </w:pPr>
      <w:bookmarkStart w:id="694" w:name="_Toc332180873"/>
      <w:r>
        <w:rPr>
          <w:rFonts w:hint="eastAsia" w:ascii="宋体" w:hAnsi="宋体" w:eastAsia="宋体" w:cs="宋体"/>
          <w:kern w:val="0"/>
          <w:sz w:val="21"/>
          <w:szCs w:val="21"/>
          <w:highlight w:val="none"/>
        </w:rPr>
        <w:t>5.4 病虫害防治</w:t>
      </w:r>
      <w:bookmarkEnd w:id="694"/>
    </w:p>
    <w:p w14:paraId="5CEE3EAB">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5.4.1 每年防治病虫害3次以上，其余参照3.3.1执行。</w:t>
      </w:r>
    </w:p>
    <w:p w14:paraId="6720E87A">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5.4.2 水生植物的病害主要可分为侵染性病害与非侵染性病害。形成致命性危害的一般为侵染性病害，由于病原微生物引起的如真菌、细菌、病毒、线虫等，具有传染性，危害极大。在植物生长期应加强菱白绢病、睡莲蚜虫、荷花茎腐病、褐斑病、黑斑病、莎草科植物根线虫病、芡实真菌性病害、水仙线虫病、水竹芋叶斑病等病虫害防治。</w:t>
      </w:r>
    </w:p>
    <w:p w14:paraId="41BE1C6E">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5.4.3 建立病虫害防治网络，及时进行预测预报，并做好台帐记录。</w:t>
      </w:r>
    </w:p>
    <w:p w14:paraId="1DB32B70">
      <w:pPr>
        <w:pStyle w:val="471"/>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5.5 除草与灭苔</w:t>
      </w:r>
    </w:p>
    <w:p w14:paraId="1C453A05">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应在早春植物萌芽前对水生杂草和青苔进行物理防治或适当的化学防治。</w:t>
      </w:r>
    </w:p>
    <w:p w14:paraId="2B79657B">
      <w:pPr>
        <w:pStyle w:val="471"/>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6、攀援植物（垂直绿化）</w:t>
      </w:r>
    </w:p>
    <w:p w14:paraId="542EFBA4">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养护管理内容包括：浇灌与排水、修剪与理藤、病虫害防治、施肥、补植、藤架管护等。</w:t>
      </w:r>
    </w:p>
    <w:p w14:paraId="670E75B4">
      <w:pPr>
        <w:pStyle w:val="471"/>
        <w:spacing w:line="360" w:lineRule="auto"/>
        <w:jc w:val="center"/>
        <w:rPr>
          <w:rFonts w:hint="eastAsia" w:ascii="宋体" w:hAnsi="宋体" w:eastAsia="宋体" w:cs="宋体"/>
          <w:kern w:val="0"/>
          <w:sz w:val="21"/>
          <w:szCs w:val="21"/>
          <w:highlight w:val="none"/>
        </w:rPr>
      </w:pPr>
      <w:bookmarkStart w:id="695" w:name="_Toc332180860"/>
      <w:r>
        <w:rPr>
          <w:rFonts w:hint="eastAsia" w:ascii="宋体" w:hAnsi="宋体" w:eastAsia="宋体" w:cs="宋体"/>
          <w:kern w:val="0"/>
          <w:sz w:val="21"/>
          <w:szCs w:val="21"/>
          <w:highlight w:val="none"/>
        </w:rPr>
        <w:t>6.1浇灌与排水</w:t>
      </w:r>
      <w:bookmarkEnd w:id="695"/>
    </w:p>
    <w:p w14:paraId="31C3A57E">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6.1.1 根据气候条件、植物习性和长势情况进行浇水。</w:t>
      </w:r>
    </w:p>
    <w:p w14:paraId="73972542">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6.1.2 夏季浇水适宜在清晨和傍晚，冬季浇水适宜在中午。</w:t>
      </w:r>
    </w:p>
    <w:p w14:paraId="0ECA1A36">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6.1.3 生长季节应松土保墒，土壤含水量应在65% — 70%范围。</w:t>
      </w:r>
    </w:p>
    <w:p w14:paraId="2845C45D">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0"/>
          <w:sz w:val="21"/>
          <w:szCs w:val="21"/>
          <w:highlight w:val="none"/>
        </w:rPr>
        <w:t>6.1.4</w:t>
      </w:r>
      <w:r>
        <w:rPr>
          <w:rFonts w:hint="eastAsia" w:ascii="宋体" w:hAnsi="宋体" w:eastAsia="宋体" w:cs="宋体"/>
          <w:kern w:val="2"/>
          <w:sz w:val="21"/>
          <w:szCs w:val="21"/>
          <w:highlight w:val="none"/>
        </w:rPr>
        <w:t xml:space="preserve"> 连续15天无降雨的情况下，气温在10-25℃时，每半月至少浇水1次；气温在25℃-35℃时，每周至少浇水1次；气温在35℃以上时, 每周至少浇水2次；冬季浇水每月不少于1次。其中高架悬挂植物，气温在25℃-35℃时，每两天浇水1次；气温35℃以上时, 1天应浇水1次。</w:t>
      </w:r>
    </w:p>
    <w:p w14:paraId="37BADCDC">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6.1.5  梅雨和暴雨季节应及时排除积水。</w:t>
      </w:r>
    </w:p>
    <w:p w14:paraId="195FEEE9">
      <w:pPr>
        <w:pStyle w:val="471"/>
        <w:spacing w:line="360" w:lineRule="auto"/>
        <w:jc w:val="center"/>
        <w:rPr>
          <w:rFonts w:hint="eastAsia" w:ascii="宋体" w:hAnsi="宋体" w:eastAsia="宋体" w:cs="宋体"/>
          <w:kern w:val="0"/>
          <w:sz w:val="21"/>
          <w:szCs w:val="21"/>
          <w:highlight w:val="none"/>
        </w:rPr>
      </w:pPr>
      <w:bookmarkStart w:id="696" w:name="_Toc332180861"/>
      <w:r>
        <w:rPr>
          <w:rFonts w:hint="eastAsia" w:ascii="宋体" w:hAnsi="宋体" w:eastAsia="宋体" w:cs="宋体"/>
          <w:kern w:val="0"/>
          <w:sz w:val="21"/>
          <w:szCs w:val="21"/>
          <w:highlight w:val="none"/>
        </w:rPr>
        <w:t>6.2 修剪与理藤</w:t>
      </w:r>
      <w:bookmarkEnd w:id="696"/>
    </w:p>
    <w:p w14:paraId="5010670A">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6.2.1 在生长季节应进行理藤、造型，以逐步达到满铺的效果，定期检查绑扎物以防脱落。</w:t>
      </w:r>
    </w:p>
    <w:p w14:paraId="0CC15005">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6.2.2多年生藤本应定期翻蔓，清除枯枝，疏除老弱藤蔓。</w:t>
      </w:r>
    </w:p>
    <w:p w14:paraId="6B86C7DD">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6.2.3 修剪宜在5月、7月、11月或植株开花后进行。</w:t>
      </w:r>
    </w:p>
    <w:p w14:paraId="5C1A7478">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6.2.4 对枝叶稀少的植株可通过摘心促进分枝；未完全覆盖的植株应短截空隙周围枝条，促生副稍。</w:t>
      </w:r>
    </w:p>
    <w:p w14:paraId="4C61D5EE">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6.2.5部分徒长枝长度达15 — 30 cm时应抑制生长；对长势过密的植株适当疏剪重叠枝控制厚度；2年以上的植株应疏减上部枝叶，并适当疏剪下部枝叶以减少枝条重叠；对生长势衰弱的植株应进行重剪促进萌发。</w:t>
      </w:r>
    </w:p>
    <w:p w14:paraId="41FB02D7">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6.2.6 枝叶过密以及立地条件差的垂直绿化应疏枝、绑扎。</w:t>
      </w:r>
    </w:p>
    <w:p w14:paraId="4BB54DA2">
      <w:pPr>
        <w:pStyle w:val="471"/>
        <w:spacing w:line="360" w:lineRule="auto"/>
        <w:jc w:val="center"/>
        <w:rPr>
          <w:rFonts w:hint="eastAsia" w:ascii="宋体" w:hAnsi="宋体" w:eastAsia="宋体" w:cs="宋体"/>
          <w:kern w:val="0"/>
          <w:sz w:val="21"/>
          <w:szCs w:val="21"/>
          <w:highlight w:val="none"/>
        </w:rPr>
      </w:pPr>
      <w:bookmarkStart w:id="697" w:name="_Toc332180862"/>
      <w:r>
        <w:rPr>
          <w:rFonts w:hint="eastAsia" w:ascii="宋体" w:hAnsi="宋体" w:eastAsia="宋体" w:cs="宋体"/>
          <w:kern w:val="0"/>
          <w:sz w:val="21"/>
          <w:szCs w:val="21"/>
          <w:highlight w:val="none"/>
        </w:rPr>
        <w:t>6.3病虫害防治</w:t>
      </w:r>
      <w:bookmarkEnd w:id="697"/>
    </w:p>
    <w:p w14:paraId="12011FA3">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参照1.3执行。</w:t>
      </w:r>
    </w:p>
    <w:p w14:paraId="254DACC0">
      <w:pPr>
        <w:pStyle w:val="471"/>
        <w:spacing w:line="360" w:lineRule="auto"/>
        <w:jc w:val="center"/>
        <w:rPr>
          <w:rFonts w:hint="eastAsia" w:ascii="宋体" w:hAnsi="宋体" w:eastAsia="宋体" w:cs="宋体"/>
          <w:kern w:val="0"/>
          <w:sz w:val="21"/>
          <w:szCs w:val="21"/>
          <w:highlight w:val="none"/>
        </w:rPr>
      </w:pPr>
      <w:bookmarkStart w:id="698" w:name="_Toc332180863"/>
      <w:r>
        <w:rPr>
          <w:rFonts w:hint="eastAsia" w:ascii="宋体" w:hAnsi="宋体" w:eastAsia="宋体" w:cs="宋体"/>
          <w:kern w:val="0"/>
          <w:sz w:val="21"/>
          <w:szCs w:val="21"/>
          <w:highlight w:val="none"/>
        </w:rPr>
        <w:t>6.4 施肥</w:t>
      </w:r>
      <w:bookmarkEnd w:id="698"/>
    </w:p>
    <w:p w14:paraId="1D07415C">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6.4.1每年冬季应施1次有机肥。生长期应施追肥，每3个月施肥一次，以复合肥为主。吸附类藤本应叶面施肥。</w:t>
      </w:r>
    </w:p>
    <w:p w14:paraId="3D03BC55">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6.4.2 新栽苗在栽植后两年内宜根据生长势进行追肥。</w:t>
      </w:r>
    </w:p>
    <w:p w14:paraId="590EDA59">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 xml:space="preserve">6.4.3 生长较差、恢复较慢的新栽苗或要促使快长的植物可用生长激素或根外追肥等措施。 </w:t>
      </w:r>
    </w:p>
    <w:p w14:paraId="31AE845A">
      <w:pPr>
        <w:pStyle w:val="471"/>
        <w:spacing w:line="360" w:lineRule="auto"/>
        <w:jc w:val="center"/>
        <w:rPr>
          <w:rFonts w:hint="eastAsia" w:ascii="宋体" w:hAnsi="宋体" w:eastAsia="宋体" w:cs="宋体"/>
          <w:kern w:val="0"/>
          <w:sz w:val="21"/>
          <w:szCs w:val="21"/>
          <w:highlight w:val="none"/>
        </w:rPr>
      </w:pPr>
      <w:bookmarkStart w:id="699" w:name="_Toc332180864"/>
      <w:r>
        <w:rPr>
          <w:rFonts w:hint="eastAsia" w:ascii="宋体" w:hAnsi="宋体" w:eastAsia="宋体" w:cs="宋体"/>
          <w:kern w:val="0"/>
          <w:sz w:val="21"/>
          <w:szCs w:val="21"/>
          <w:highlight w:val="none"/>
        </w:rPr>
        <w:t>6.5 补植</w:t>
      </w:r>
      <w:bookmarkEnd w:id="699"/>
    </w:p>
    <w:p w14:paraId="0F42009A">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6.5.1 植物死亡、缺株面积超过0.5m</w:t>
      </w:r>
      <w:r>
        <w:rPr>
          <w:rFonts w:hint="eastAsia" w:ascii="宋体" w:hAnsi="宋体" w:eastAsia="宋体" w:cs="宋体"/>
          <w:kern w:val="2"/>
          <w:sz w:val="21"/>
          <w:szCs w:val="21"/>
          <w:highlight w:val="none"/>
          <w:vertAlign w:val="superscript"/>
        </w:rPr>
        <w:t>2</w:t>
      </w:r>
      <w:r>
        <w:rPr>
          <w:rFonts w:hint="eastAsia" w:ascii="宋体" w:hAnsi="宋体" w:eastAsia="宋体" w:cs="宋体"/>
          <w:kern w:val="2"/>
          <w:sz w:val="21"/>
          <w:szCs w:val="21"/>
          <w:highlight w:val="none"/>
        </w:rPr>
        <w:t>或影响整体攀爬、垂挂效果的，必须进行补植。</w:t>
      </w:r>
    </w:p>
    <w:p w14:paraId="313439B6">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6.5.2 落叶植物补植应在植物落叶后土壤结冻前进行；常绿植物补植应在土壤解冻后，新芽萌发前进行。</w:t>
      </w:r>
    </w:p>
    <w:p w14:paraId="53273EFD">
      <w:pPr>
        <w:pStyle w:val="471"/>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6.6 藤架管护</w:t>
      </w:r>
    </w:p>
    <w:p w14:paraId="317E9E6C">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6.6.1 藤架要牢固，不变形、无损毁。应定期对棚架、挂网等攀援设施进行检查，桥墩外包裹网片每月应检查一次，高架悬挂花槽和支架每半月应检查一次，发现问题立即加固或更换。</w:t>
      </w:r>
    </w:p>
    <w:p w14:paraId="3A74EDD3">
      <w:pPr>
        <w:spacing w:line="360" w:lineRule="auto"/>
        <w:ind w:firstLine="420" w:firstLineChars="200"/>
        <w:rPr>
          <w:rFonts w:hint="eastAsia" w:ascii="宋体" w:hAnsi="宋体" w:eastAsia="宋体" w:cs="宋体"/>
          <w:kern w:val="2"/>
          <w:sz w:val="21"/>
          <w:szCs w:val="21"/>
          <w:highlight w:val="none"/>
        </w:rPr>
      </w:pPr>
    </w:p>
    <w:p w14:paraId="497BF61A">
      <w:pPr>
        <w:pStyle w:val="471"/>
        <w:spacing w:line="360" w:lineRule="auto"/>
        <w:jc w:val="center"/>
        <w:rPr>
          <w:rFonts w:hint="eastAsia" w:ascii="宋体" w:hAnsi="宋体" w:eastAsia="宋体" w:cs="宋体"/>
          <w:kern w:val="0"/>
          <w:sz w:val="21"/>
          <w:szCs w:val="21"/>
          <w:highlight w:val="none"/>
        </w:rPr>
      </w:pPr>
      <w:bookmarkStart w:id="700" w:name="_Toc332180865"/>
      <w:bookmarkStart w:id="701" w:name="_Toc332180836"/>
      <w:r>
        <w:rPr>
          <w:rFonts w:hint="eastAsia" w:ascii="宋体" w:hAnsi="宋体" w:eastAsia="宋体" w:cs="宋体"/>
          <w:kern w:val="0"/>
          <w:sz w:val="21"/>
          <w:szCs w:val="21"/>
          <w:highlight w:val="none"/>
        </w:rPr>
        <w:t>7、竹类植物养护</w:t>
      </w:r>
      <w:bookmarkEnd w:id="700"/>
    </w:p>
    <w:p w14:paraId="2CA5A897">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养护管理内容包括：浇灌与排水、断鞭与疏除、病虫害防治、松土与除草、施肥等。</w:t>
      </w:r>
    </w:p>
    <w:p w14:paraId="197EAA9F">
      <w:pPr>
        <w:pStyle w:val="471"/>
        <w:spacing w:line="360" w:lineRule="auto"/>
        <w:jc w:val="center"/>
        <w:rPr>
          <w:rFonts w:hint="eastAsia" w:ascii="宋体" w:hAnsi="宋体" w:eastAsia="宋体" w:cs="宋体"/>
          <w:kern w:val="0"/>
          <w:sz w:val="21"/>
          <w:szCs w:val="21"/>
          <w:highlight w:val="none"/>
        </w:rPr>
      </w:pPr>
      <w:bookmarkStart w:id="702" w:name="_Toc332180866"/>
      <w:r>
        <w:rPr>
          <w:rFonts w:hint="eastAsia" w:ascii="宋体" w:hAnsi="宋体" w:eastAsia="宋体" w:cs="宋体"/>
          <w:kern w:val="0"/>
          <w:sz w:val="21"/>
          <w:szCs w:val="21"/>
          <w:highlight w:val="none"/>
        </w:rPr>
        <w:t>7.1浇灌与排水</w:t>
      </w:r>
      <w:bookmarkEnd w:id="702"/>
    </w:p>
    <w:p w14:paraId="61E11BF0">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0"/>
          <w:sz w:val="21"/>
          <w:szCs w:val="21"/>
          <w:highlight w:val="none"/>
        </w:rPr>
        <w:t xml:space="preserve">7.1.1 </w:t>
      </w:r>
      <w:r>
        <w:rPr>
          <w:rFonts w:hint="eastAsia" w:ascii="宋体" w:hAnsi="宋体" w:eastAsia="宋体" w:cs="宋体"/>
          <w:kern w:val="2"/>
          <w:sz w:val="21"/>
          <w:szCs w:val="21"/>
          <w:highlight w:val="none"/>
        </w:rPr>
        <w:t>浇水应根据竹子生物学特性、长势、季节和土质状况，做到适地、适时、适量浇灌，确保生长期内无萎蔫现象。每年浇水6次以上，春季竹子萌发前要浇春水至少1次，冬季休眠前浇防冻水至少1次，遇到持续干旱的黄梅天，应浇行鞭水。</w:t>
      </w:r>
    </w:p>
    <w:p w14:paraId="0BDFAECE">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7.1.2</w:t>
      </w:r>
      <w:r>
        <w:rPr>
          <w:rFonts w:hint="eastAsia" w:ascii="宋体" w:hAnsi="宋体" w:eastAsia="宋体" w:cs="宋体"/>
          <w:kern w:val="0"/>
          <w:sz w:val="21"/>
          <w:szCs w:val="21"/>
          <w:highlight w:val="none"/>
        </w:rPr>
        <w:t xml:space="preserve"> </w:t>
      </w:r>
      <w:r>
        <w:rPr>
          <w:rFonts w:hint="eastAsia" w:ascii="宋体" w:hAnsi="宋体" w:eastAsia="宋体" w:cs="宋体"/>
          <w:kern w:val="2"/>
          <w:sz w:val="21"/>
          <w:szCs w:val="21"/>
          <w:highlight w:val="none"/>
        </w:rPr>
        <w:t>根部积水应及时排出。耐涝性差的竹子应在6小时内排除积水，低洼易积水处应设置排水沟。</w:t>
      </w:r>
    </w:p>
    <w:p w14:paraId="654CB759">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7.1.3</w:t>
      </w:r>
      <w:r>
        <w:rPr>
          <w:rFonts w:hint="eastAsia" w:ascii="宋体" w:hAnsi="宋体" w:eastAsia="宋体" w:cs="宋体"/>
          <w:kern w:val="0"/>
          <w:sz w:val="21"/>
          <w:szCs w:val="21"/>
          <w:highlight w:val="none"/>
        </w:rPr>
        <w:t xml:space="preserve"> </w:t>
      </w:r>
      <w:r>
        <w:rPr>
          <w:rFonts w:hint="eastAsia" w:ascii="宋体" w:hAnsi="宋体" w:eastAsia="宋体" w:cs="宋体"/>
          <w:kern w:val="2"/>
          <w:sz w:val="21"/>
          <w:szCs w:val="21"/>
          <w:highlight w:val="none"/>
        </w:rPr>
        <w:t>水源不得含有毒有害物质，提倡使用中水、雨水和河水浇灌。</w:t>
      </w:r>
    </w:p>
    <w:p w14:paraId="33A86609">
      <w:pPr>
        <w:pStyle w:val="471"/>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7.2 断鞭与疏除</w:t>
      </w:r>
    </w:p>
    <w:p w14:paraId="733E44B8">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7.2.1 竹林新、老竹生长比例恰当，每经过3 — 5年，应深翻、断鞭，将4年生以上的老鞭及每年砍伐后的竹蔸挖出。</w:t>
      </w:r>
    </w:p>
    <w:p w14:paraId="33BDA1ED">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7.2.2 竹林应加强抚育管理，保留适当密度，使竹林通风透光、生长健壮，无枯死竹。</w:t>
      </w:r>
    </w:p>
    <w:p w14:paraId="7CD29287">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7.2.3 竹林过密应适当间伐或间移，使留竹分布均匀，并及时用土杂肥回填土坑，竹林应于每年初冬适量培土。</w:t>
      </w:r>
    </w:p>
    <w:p w14:paraId="4388F2D4">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7.2.4 间伐应在晚秋或冬季进行，间伐以保留4、5年生以下立竹，去除6年以上，尤其是10年生以上老竹的原则进行。</w:t>
      </w:r>
    </w:p>
    <w:p w14:paraId="0E8DABD9">
      <w:pPr>
        <w:pStyle w:val="471"/>
        <w:spacing w:line="360" w:lineRule="auto"/>
        <w:jc w:val="center"/>
        <w:rPr>
          <w:rFonts w:hint="eastAsia" w:ascii="宋体" w:hAnsi="宋体" w:eastAsia="宋体" w:cs="宋体"/>
          <w:kern w:val="0"/>
          <w:sz w:val="21"/>
          <w:szCs w:val="21"/>
          <w:highlight w:val="none"/>
        </w:rPr>
      </w:pPr>
      <w:bookmarkStart w:id="703" w:name="_Toc332180867"/>
      <w:r>
        <w:rPr>
          <w:rFonts w:hint="eastAsia" w:ascii="宋体" w:hAnsi="宋体" w:eastAsia="宋体" w:cs="宋体"/>
          <w:kern w:val="0"/>
          <w:sz w:val="21"/>
          <w:szCs w:val="21"/>
          <w:highlight w:val="none"/>
        </w:rPr>
        <w:t>7.3 病虫害防治</w:t>
      </w:r>
      <w:bookmarkEnd w:id="703"/>
    </w:p>
    <w:p w14:paraId="00264F3E">
      <w:pPr>
        <w:spacing w:line="360" w:lineRule="auto"/>
        <w:ind w:firstLine="420" w:firstLineChars="200"/>
        <w:rPr>
          <w:rFonts w:hint="eastAsia" w:ascii="宋体" w:hAnsi="宋体" w:eastAsia="宋体" w:cs="宋体"/>
          <w:kern w:val="2"/>
          <w:sz w:val="21"/>
          <w:szCs w:val="21"/>
          <w:highlight w:val="none"/>
        </w:rPr>
      </w:pPr>
      <w:bookmarkStart w:id="704" w:name="_Toc332180868"/>
      <w:r>
        <w:rPr>
          <w:rFonts w:hint="eastAsia" w:ascii="宋体" w:hAnsi="宋体" w:eastAsia="宋体" w:cs="宋体"/>
          <w:kern w:val="2"/>
          <w:sz w:val="21"/>
          <w:szCs w:val="21"/>
          <w:highlight w:val="none"/>
        </w:rPr>
        <w:t>7.3.1参照1.3.1执行。</w:t>
      </w:r>
    </w:p>
    <w:p w14:paraId="30339C8E">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7.3.2</w:t>
      </w:r>
      <w:r>
        <w:rPr>
          <w:rFonts w:hint="eastAsia" w:ascii="宋体" w:hAnsi="宋体" w:eastAsia="宋体" w:cs="宋体"/>
          <w:kern w:val="0"/>
          <w:sz w:val="21"/>
          <w:szCs w:val="21"/>
          <w:highlight w:val="none"/>
        </w:rPr>
        <w:t xml:space="preserve"> </w:t>
      </w:r>
      <w:r>
        <w:rPr>
          <w:rFonts w:hint="eastAsia" w:ascii="宋体" w:hAnsi="宋体" w:eastAsia="宋体" w:cs="宋体"/>
          <w:kern w:val="2"/>
          <w:sz w:val="21"/>
          <w:szCs w:val="21"/>
          <w:highlight w:val="none"/>
        </w:rPr>
        <w:t>竹类植物生长期，应注意防治竹竿锈病、竹丛枝病、竹煤污病、竹黑粉病等病害，以及竹茎扁蚜、竹蝗、舟蛾、毒蛾等害虫。冬季应加强园地清洁，减少越冬病菌和虫卵数量。</w:t>
      </w:r>
    </w:p>
    <w:p w14:paraId="3E4FF121">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7.3.3</w:t>
      </w:r>
      <w:r>
        <w:rPr>
          <w:rFonts w:hint="eastAsia" w:ascii="宋体" w:hAnsi="宋体" w:eastAsia="宋体" w:cs="宋体"/>
          <w:kern w:val="0"/>
          <w:sz w:val="21"/>
          <w:szCs w:val="21"/>
          <w:highlight w:val="none"/>
        </w:rPr>
        <w:t xml:space="preserve"> </w:t>
      </w:r>
      <w:r>
        <w:rPr>
          <w:rFonts w:hint="eastAsia" w:ascii="宋体" w:hAnsi="宋体" w:eastAsia="宋体" w:cs="宋体"/>
          <w:kern w:val="2"/>
          <w:sz w:val="21"/>
          <w:szCs w:val="21"/>
          <w:highlight w:val="none"/>
        </w:rPr>
        <w:t>建立病虫害防治网络，及时进行预测预报，并做好台帐记录。</w:t>
      </w:r>
    </w:p>
    <w:p w14:paraId="1AC90D58">
      <w:pPr>
        <w:pStyle w:val="471"/>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7.4松土与除草</w:t>
      </w:r>
      <w:bookmarkEnd w:id="704"/>
    </w:p>
    <w:p w14:paraId="3508E179">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7.4.1 除2 — 4月外，其他季节应及时清除竹园危害性杂草。</w:t>
      </w:r>
    </w:p>
    <w:p w14:paraId="02F65C64">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7.4.2 每年应松土1次，松土应于6月—7月进行，深度不小于15cm，竹鞭不得裸露。</w:t>
      </w:r>
    </w:p>
    <w:p w14:paraId="4B5A1EFB">
      <w:pPr>
        <w:spacing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2"/>
          <w:sz w:val="21"/>
          <w:szCs w:val="21"/>
          <w:highlight w:val="none"/>
        </w:rPr>
        <w:t xml:space="preserve">7.4.3 </w:t>
      </w:r>
      <w:r>
        <w:rPr>
          <w:rFonts w:hint="eastAsia" w:ascii="宋体" w:hAnsi="宋体" w:eastAsia="宋体" w:cs="宋体"/>
          <w:kern w:val="0"/>
          <w:sz w:val="21"/>
          <w:szCs w:val="21"/>
          <w:highlight w:val="none"/>
        </w:rPr>
        <w:t>松土时应及时除去林内老鞭和竹篼、杂草、石块。</w:t>
      </w:r>
      <w:bookmarkStart w:id="705" w:name="_Toc332180869"/>
    </w:p>
    <w:p w14:paraId="6071BA3F">
      <w:pPr>
        <w:pStyle w:val="471"/>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7.5施肥</w:t>
      </w:r>
      <w:bookmarkEnd w:id="705"/>
    </w:p>
    <w:p w14:paraId="6A4EB76F">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7.5.1 全年应施基肥1次，追肥1 — 3次。</w:t>
      </w:r>
    </w:p>
    <w:p w14:paraId="446E3EC3">
      <w:pPr>
        <w:spacing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2"/>
          <w:sz w:val="21"/>
          <w:szCs w:val="21"/>
          <w:highlight w:val="none"/>
        </w:rPr>
        <w:t>7.5.2 冬季施肥应以酸性有机肥为主；春夏季追肥适宜施用尿素等速效肥，即3月、6月、9月</w:t>
      </w:r>
      <w:r>
        <w:rPr>
          <w:rFonts w:hint="eastAsia" w:ascii="宋体" w:hAnsi="宋体" w:eastAsia="宋体" w:cs="宋体"/>
          <w:kern w:val="0"/>
          <w:sz w:val="21"/>
          <w:szCs w:val="21"/>
          <w:highlight w:val="none"/>
        </w:rPr>
        <w:t>,每次宜</w:t>
      </w:r>
      <w:r>
        <w:rPr>
          <w:rFonts w:hint="eastAsia" w:ascii="宋体" w:hAnsi="宋体" w:eastAsia="宋体" w:cs="宋体"/>
          <w:kern w:val="2"/>
          <w:sz w:val="21"/>
          <w:szCs w:val="21"/>
          <w:highlight w:val="none"/>
        </w:rPr>
        <w:t>15-23g/m</w:t>
      </w:r>
      <w:r>
        <w:rPr>
          <w:rFonts w:hint="eastAsia" w:ascii="宋体" w:hAnsi="宋体" w:eastAsia="宋体" w:cs="宋体"/>
          <w:kern w:val="2"/>
          <w:sz w:val="21"/>
          <w:szCs w:val="21"/>
          <w:highlight w:val="none"/>
          <w:vertAlign w:val="superscript"/>
        </w:rPr>
        <w:t>2</w:t>
      </w:r>
      <w:r>
        <w:rPr>
          <w:rFonts w:hint="eastAsia" w:ascii="宋体" w:hAnsi="宋体" w:eastAsia="宋体" w:cs="宋体"/>
          <w:kern w:val="0"/>
          <w:sz w:val="21"/>
          <w:szCs w:val="21"/>
          <w:highlight w:val="none"/>
        </w:rPr>
        <w:t>。</w:t>
      </w:r>
    </w:p>
    <w:p w14:paraId="64ECCABA">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7.5.3 提倡林下种植耐荫绿肥，锄下的嫩草宜埋入土中。</w:t>
      </w:r>
    </w:p>
    <w:p w14:paraId="1354841D">
      <w:pPr>
        <w:pStyle w:val="471"/>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8、多年生地被植物（含花镜）</w:t>
      </w:r>
    </w:p>
    <w:p w14:paraId="7BDD9BC8">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养护管理内容包括：浇灌与排水、修剪与疏除、病虫害防治、除草与切边、施肥等。</w:t>
      </w:r>
    </w:p>
    <w:p w14:paraId="57DFD4EB">
      <w:pPr>
        <w:pStyle w:val="471"/>
        <w:spacing w:line="360" w:lineRule="auto"/>
        <w:jc w:val="center"/>
        <w:rPr>
          <w:rFonts w:hint="eastAsia" w:ascii="宋体" w:hAnsi="宋体" w:eastAsia="宋体" w:cs="宋体"/>
          <w:kern w:val="0"/>
          <w:sz w:val="21"/>
          <w:szCs w:val="21"/>
          <w:highlight w:val="none"/>
        </w:rPr>
      </w:pPr>
      <w:bookmarkStart w:id="706" w:name="_Toc332180843"/>
      <w:r>
        <w:rPr>
          <w:rFonts w:hint="eastAsia" w:ascii="宋体" w:hAnsi="宋体" w:eastAsia="宋体" w:cs="宋体"/>
          <w:kern w:val="0"/>
          <w:sz w:val="21"/>
          <w:szCs w:val="21"/>
          <w:highlight w:val="none"/>
        </w:rPr>
        <w:t>8.1浇灌与排水</w:t>
      </w:r>
      <w:bookmarkEnd w:id="706"/>
    </w:p>
    <w:p w14:paraId="7141BD2B">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8.1.1 浇水应视土质状况、植物习性和生长情况及时浇灌，土壤含水量应保持在50%-60%。</w:t>
      </w:r>
    </w:p>
    <w:p w14:paraId="04FF143B">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8.1.2 连续15天无降雨的情况下，气温在10-25℃时，每半月至少浇水1次；气温在25℃-35℃时，每周至少浇水1次；气温在35℃以上时, 每周至少浇水2次；冬季浇水每月不少于1次。</w:t>
      </w:r>
    </w:p>
    <w:p w14:paraId="45A7AB4A">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8.1.3 浇水必须湿透根系层，浸湿土层应大于5cm。</w:t>
      </w:r>
    </w:p>
    <w:p w14:paraId="08600FA2">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8.1.4 沙质土壤应勤浇水，粘质土壤应合理浇水。</w:t>
      </w:r>
    </w:p>
    <w:p w14:paraId="5B918F5F">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8.1.5 肉质根花卉应少浇水，草本花卉应勤浇水。</w:t>
      </w:r>
    </w:p>
    <w:p w14:paraId="5D6BDFDD">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8.1.6 营养生长和生殖生长时应多浇水，盛花期可少浇水。</w:t>
      </w:r>
    </w:p>
    <w:p w14:paraId="151D2F49">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8.1.7 根部积水应及时排出，耐涝性差的地被应该在6小时内排除积水，低洼易积水处应设置排水沟。</w:t>
      </w:r>
    </w:p>
    <w:p w14:paraId="17093101">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8.1.8 水源不得含有毒有害物质，提倡使用中水、雨水和河水浇灌。</w:t>
      </w:r>
    </w:p>
    <w:p w14:paraId="40160036">
      <w:pPr>
        <w:pStyle w:val="471"/>
        <w:spacing w:line="360" w:lineRule="auto"/>
        <w:jc w:val="center"/>
        <w:rPr>
          <w:rFonts w:hint="eastAsia" w:ascii="宋体" w:hAnsi="宋体" w:eastAsia="宋体" w:cs="宋体"/>
          <w:kern w:val="0"/>
          <w:sz w:val="21"/>
          <w:szCs w:val="21"/>
          <w:highlight w:val="none"/>
        </w:rPr>
      </w:pPr>
      <w:bookmarkStart w:id="707" w:name="_Toc332180844"/>
      <w:r>
        <w:rPr>
          <w:rFonts w:hint="eastAsia" w:ascii="宋体" w:hAnsi="宋体" w:eastAsia="宋体" w:cs="宋体"/>
          <w:kern w:val="0"/>
          <w:sz w:val="21"/>
          <w:szCs w:val="21"/>
          <w:highlight w:val="none"/>
        </w:rPr>
        <w:t>8.2 修剪</w:t>
      </w:r>
      <w:bookmarkEnd w:id="707"/>
      <w:r>
        <w:rPr>
          <w:rFonts w:hint="eastAsia" w:ascii="宋体" w:hAnsi="宋体" w:eastAsia="宋体" w:cs="宋体"/>
          <w:kern w:val="0"/>
          <w:sz w:val="21"/>
          <w:szCs w:val="21"/>
          <w:highlight w:val="none"/>
        </w:rPr>
        <w:t>与疏除</w:t>
      </w:r>
    </w:p>
    <w:p w14:paraId="4B67D59F">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8.2.1 应按照原设计意图、景观需要和生长状况，及时对生长过密、过高植物进行疏除或修剪，对影响景观的干枯枝叶进行清除。</w:t>
      </w:r>
    </w:p>
    <w:p w14:paraId="0081F09A">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8.2.2 常见的整形修剪手法有摘心、除芽和修枝。</w:t>
      </w:r>
    </w:p>
    <w:p w14:paraId="1AAEE3DF">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8.2.3 摘除枝梢顶芽，促进分枝生长，防倒伏。</w:t>
      </w:r>
    </w:p>
    <w:p w14:paraId="66BE88F9">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8.2.4 剥除过多的腋芽，促使开花大而充实。</w:t>
      </w:r>
    </w:p>
    <w:p w14:paraId="357123BC">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8.2.5 剪除徒长枝、残花、枯枝、病虫枝和生长过旺枝条，保证最佳景观效果。</w:t>
      </w:r>
    </w:p>
    <w:p w14:paraId="5E205B42">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8.2.6 宿根花卉每3-5年可重新分株复壮，翻种1次。</w:t>
      </w:r>
    </w:p>
    <w:p w14:paraId="4477C6EA">
      <w:pPr>
        <w:pStyle w:val="471"/>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8.3 病虫害防治</w:t>
      </w:r>
    </w:p>
    <w:p w14:paraId="733D912D">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8.3.1 每年防治病虫害5次以上，枝叶受害率小于3%，其余参照3.3.1执行。</w:t>
      </w:r>
    </w:p>
    <w:p w14:paraId="2D9189EA">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8.3.2 应重点防治地下害虫及食叶害虫。</w:t>
      </w:r>
    </w:p>
    <w:p w14:paraId="315F5D77">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8.3.3 建立病虫害防治网络，及时进行预测预报，并做好台帐记录。</w:t>
      </w:r>
    </w:p>
    <w:p w14:paraId="6EE85F21">
      <w:pPr>
        <w:pStyle w:val="471"/>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8.4 除草与切边</w:t>
      </w:r>
    </w:p>
    <w:p w14:paraId="19F618D5">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参照4.4执行。</w:t>
      </w:r>
    </w:p>
    <w:p w14:paraId="2D9E9AC6">
      <w:pPr>
        <w:pStyle w:val="471"/>
        <w:spacing w:line="360" w:lineRule="auto"/>
        <w:jc w:val="center"/>
        <w:rPr>
          <w:rFonts w:hint="eastAsia" w:ascii="宋体" w:hAnsi="宋体" w:eastAsia="宋体" w:cs="宋体"/>
          <w:kern w:val="0"/>
          <w:sz w:val="21"/>
          <w:szCs w:val="21"/>
          <w:highlight w:val="none"/>
        </w:rPr>
      </w:pPr>
      <w:bookmarkStart w:id="708" w:name="_Toc332180845"/>
      <w:r>
        <w:rPr>
          <w:rFonts w:hint="eastAsia" w:ascii="宋体" w:hAnsi="宋体" w:eastAsia="宋体" w:cs="宋体"/>
          <w:kern w:val="0"/>
          <w:sz w:val="21"/>
          <w:szCs w:val="21"/>
          <w:highlight w:val="none"/>
        </w:rPr>
        <w:t>8.5 施肥</w:t>
      </w:r>
      <w:bookmarkEnd w:id="708"/>
    </w:p>
    <w:p w14:paraId="09C689D7">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8.5.1 施肥应根据土质状况、植物品种和生长状况适时适量施肥。</w:t>
      </w:r>
    </w:p>
    <w:p w14:paraId="309BD7E4">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8.5.2 休眠期施基肥，生长期施追肥，花灌木花前、花后补施花肥。越冬休眠前1个月至2个月宜至少追肥一次。</w:t>
      </w:r>
    </w:p>
    <w:p w14:paraId="2DB0841C">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8.5.3 基肥应采用腐熟有机肥，追肥应以复合肥为主。</w:t>
      </w:r>
    </w:p>
    <w:p w14:paraId="29F59126">
      <w:pPr>
        <w:spacing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2"/>
          <w:sz w:val="21"/>
          <w:szCs w:val="21"/>
          <w:highlight w:val="none"/>
        </w:rPr>
        <w:t>8.5.4 施肥量应视植物品种、生长情况和设计意图而定。一般情况下，基肥施用量</w:t>
      </w:r>
      <w:r>
        <w:rPr>
          <w:rFonts w:hint="eastAsia" w:ascii="宋体" w:hAnsi="宋体" w:eastAsia="宋体" w:cs="宋体"/>
          <w:kern w:val="0"/>
          <w:sz w:val="21"/>
          <w:szCs w:val="21"/>
          <w:highlight w:val="none"/>
        </w:rPr>
        <w:t>0.5kg/㎡，追肥施用量不超过30g/㎡。</w:t>
      </w:r>
    </w:p>
    <w:p w14:paraId="7CFA61B5">
      <w:pPr>
        <w:spacing w:line="360" w:lineRule="auto"/>
        <w:rPr>
          <w:rFonts w:hint="eastAsia" w:ascii="宋体" w:hAnsi="宋体" w:eastAsia="宋体" w:cs="宋体"/>
          <w:kern w:val="2"/>
          <w:sz w:val="21"/>
          <w:szCs w:val="21"/>
          <w:highlight w:val="none"/>
        </w:rPr>
      </w:pPr>
    </w:p>
    <w:bookmarkEnd w:id="701"/>
    <w:p w14:paraId="136682E3">
      <w:pPr>
        <w:pStyle w:val="471"/>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9、 一、生草花</w:t>
      </w:r>
    </w:p>
    <w:p w14:paraId="3BD21722">
      <w:pPr>
        <w:spacing w:line="360" w:lineRule="auto"/>
        <w:ind w:firstLine="420" w:firstLineChars="200"/>
        <w:rPr>
          <w:rFonts w:hint="eastAsia" w:ascii="宋体" w:hAnsi="宋体" w:eastAsia="宋体" w:cs="宋体"/>
          <w:kern w:val="2"/>
          <w:sz w:val="21"/>
          <w:szCs w:val="21"/>
          <w:highlight w:val="none"/>
        </w:rPr>
      </w:pPr>
      <w:bookmarkStart w:id="709" w:name="_Toc332180837"/>
      <w:r>
        <w:rPr>
          <w:rFonts w:hint="eastAsia" w:ascii="宋体" w:hAnsi="宋体" w:eastAsia="宋体" w:cs="宋体"/>
          <w:kern w:val="2"/>
          <w:sz w:val="21"/>
          <w:szCs w:val="21"/>
          <w:highlight w:val="none"/>
        </w:rPr>
        <w:t>养护管理内容包括：浇灌与排水、修剪与疏除、病虫害防治、除草与切边、施肥等。</w:t>
      </w:r>
    </w:p>
    <w:p w14:paraId="76F0B8C8">
      <w:pPr>
        <w:pStyle w:val="471"/>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9.1 浇灌与排水</w:t>
      </w:r>
      <w:bookmarkEnd w:id="709"/>
    </w:p>
    <w:p w14:paraId="68F3B414">
      <w:pPr>
        <w:spacing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2"/>
          <w:sz w:val="21"/>
          <w:szCs w:val="21"/>
          <w:highlight w:val="none"/>
        </w:rPr>
        <w:t>参照8.1执行。</w:t>
      </w:r>
    </w:p>
    <w:p w14:paraId="0181B094">
      <w:pPr>
        <w:pStyle w:val="471"/>
        <w:spacing w:line="360" w:lineRule="auto"/>
        <w:jc w:val="center"/>
        <w:rPr>
          <w:rFonts w:hint="eastAsia" w:ascii="宋体" w:hAnsi="宋体" w:eastAsia="宋体" w:cs="宋体"/>
          <w:kern w:val="0"/>
          <w:sz w:val="21"/>
          <w:szCs w:val="21"/>
          <w:highlight w:val="none"/>
        </w:rPr>
      </w:pPr>
      <w:bookmarkStart w:id="710" w:name="_Toc332180838"/>
      <w:r>
        <w:rPr>
          <w:rFonts w:hint="eastAsia" w:ascii="宋体" w:hAnsi="宋体" w:eastAsia="宋体" w:cs="宋体"/>
          <w:kern w:val="0"/>
          <w:sz w:val="21"/>
          <w:szCs w:val="21"/>
          <w:highlight w:val="none"/>
        </w:rPr>
        <w:t>9.2 病虫害防治</w:t>
      </w:r>
      <w:bookmarkEnd w:id="710"/>
    </w:p>
    <w:p w14:paraId="2419F704">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参照8.3执行。</w:t>
      </w:r>
    </w:p>
    <w:p w14:paraId="29433ACC">
      <w:pPr>
        <w:pStyle w:val="471"/>
        <w:spacing w:line="360" w:lineRule="auto"/>
        <w:jc w:val="center"/>
        <w:rPr>
          <w:rFonts w:hint="eastAsia" w:ascii="宋体" w:hAnsi="宋体" w:eastAsia="宋体" w:cs="宋体"/>
          <w:kern w:val="0"/>
          <w:sz w:val="21"/>
          <w:szCs w:val="21"/>
          <w:highlight w:val="none"/>
        </w:rPr>
      </w:pPr>
      <w:bookmarkStart w:id="711" w:name="_Toc332180839"/>
      <w:r>
        <w:rPr>
          <w:rFonts w:hint="eastAsia" w:ascii="宋体" w:hAnsi="宋体" w:eastAsia="宋体" w:cs="宋体"/>
          <w:kern w:val="0"/>
          <w:sz w:val="21"/>
          <w:szCs w:val="21"/>
          <w:highlight w:val="none"/>
        </w:rPr>
        <w:t>9.3 松土与除草</w:t>
      </w:r>
      <w:bookmarkEnd w:id="711"/>
    </w:p>
    <w:p w14:paraId="21F6F1F4">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9.3.1 草花换茬间隔期，土壤应进行翻挖、平整和消毒，但间隔期不得超过7天（遇阴雨天顺延）。</w:t>
      </w:r>
    </w:p>
    <w:p w14:paraId="7A019ED0">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9.3.2 表层土壤保持疏松，踩踏板结后应及时松土。</w:t>
      </w:r>
    </w:p>
    <w:p w14:paraId="3DA458A4">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9.3.3 杂草应控制在不影响景观效果范围内。</w:t>
      </w:r>
    </w:p>
    <w:p w14:paraId="3D316013">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9.3.4 除草应除早、除小，杂草需连根拔出。</w:t>
      </w:r>
    </w:p>
    <w:p w14:paraId="004E7E23">
      <w:pPr>
        <w:pStyle w:val="471"/>
        <w:spacing w:line="360" w:lineRule="auto"/>
        <w:jc w:val="center"/>
        <w:rPr>
          <w:rFonts w:hint="eastAsia" w:ascii="宋体" w:hAnsi="宋体" w:eastAsia="宋体" w:cs="宋体"/>
          <w:kern w:val="0"/>
          <w:sz w:val="21"/>
          <w:szCs w:val="21"/>
          <w:highlight w:val="none"/>
        </w:rPr>
      </w:pPr>
      <w:bookmarkStart w:id="712" w:name="_Toc332180840"/>
      <w:r>
        <w:rPr>
          <w:rFonts w:hint="eastAsia" w:ascii="宋体" w:hAnsi="宋体" w:eastAsia="宋体" w:cs="宋体"/>
          <w:kern w:val="0"/>
          <w:sz w:val="21"/>
          <w:szCs w:val="21"/>
          <w:highlight w:val="none"/>
        </w:rPr>
        <w:t>9.4施肥</w:t>
      </w:r>
      <w:bookmarkEnd w:id="712"/>
    </w:p>
    <w:p w14:paraId="628A9EBB">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9</w:t>
      </w:r>
      <w:r>
        <w:rPr>
          <w:rFonts w:hint="eastAsia" w:ascii="宋体" w:hAnsi="宋体" w:eastAsia="宋体" w:cs="宋体"/>
          <w:kern w:val="0"/>
          <w:sz w:val="21"/>
          <w:szCs w:val="21"/>
          <w:highlight w:val="none"/>
        </w:rPr>
        <w:t xml:space="preserve">.4.1 </w:t>
      </w:r>
      <w:r>
        <w:rPr>
          <w:rFonts w:hint="eastAsia" w:ascii="宋体" w:hAnsi="宋体" w:eastAsia="宋体" w:cs="宋体"/>
          <w:kern w:val="2"/>
          <w:sz w:val="21"/>
          <w:szCs w:val="21"/>
          <w:highlight w:val="none"/>
        </w:rPr>
        <w:t>视植物生长状况，适时、适量进行施肥。</w:t>
      </w:r>
    </w:p>
    <w:p w14:paraId="36C14833">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9.4.2 草花更换后需每月追肥1次。施肥可采用撒施和喷施。肥料可采用复合肥，施肥量不少于15g/m</w:t>
      </w:r>
      <w:r>
        <w:rPr>
          <w:rFonts w:hint="eastAsia" w:ascii="宋体" w:hAnsi="宋体" w:eastAsia="宋体" w:cs="宋体"/>
          <w:kern w:val="2"/>
          <w:sz w:val="21"/>
          <w:szCs w:val="21"/>
          <w:highlight w:val="none"/>
          <w:vertAlign w:val="superscript"/>
        </w:rPr>
        <w:t>2</w:t>
      </w:r>
      <w:r>
        <w:rPr>
          <w:rFonts w:hint="eastAsia" w:ascii="宋体" w:hAnsi="宋体" w:eastAsia="宋体" w:cs="宋体"/>
          <w:kern w:val="2"/>
          <w:sz w:val="21"/>
          <w:szCs w:val="21"/>
          <w:highlight w:val="none"/>
        </w:rPr>
        <w:t>。</w:t>
      </w:r>
    </w:p>
    <w:p w14:paraId="1C8D6D5C">
      <w:pPr>
        <w:spacing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2"/>
          <w:sz w:val="21"/>
          <w:szCs w:val="21"/>
          <w:highlight w:val="none"/>
        </w:rPr>
        <w:t xml:space="preserve">9.4.3 </w:t>
      </w:r>
      <w:r>
        <w:rPr>
          <w:rFonts w:hint="eastAsia" w:ascii="宋体" w:hAnsi="宋体" w:eastAsia="宋体" w:cs="宋体"/>
          <w:kern w:val="0"/>
          <w:sz w:val="21"/>
          <w:szCs w:val="21"/>
          <w:highlight w:val="none"/>
        </w:rPr>
        <w:t>花卉花蕾露色前、后适当施追肥，盛花期后不宜施肥。</w:t>
      </w:r>
    </w:p>
    <w:p w14:paraId="0349574F">
      <w:pPr>
        <w:pStyle w:val="471"/>
        <w:spacing w:line="360" w:lineRule="auto"/>
        <w:jc w:val="center"/>
        <w:rPr>
          <w:rFonts w:hint="eastAsia" w:ascii="宋体" w:hAnsi="宋体" w:eastAsia="宋体" w:cs="宋体"/>
          <w:kern w:val="0"/>
          <w:sz w:val="21"/>
          <w:szCs w:val="21"/>
          <w:highlight w:val="none"/>
        </w:rPr>
      </w:pPr>
      <w:bookmarkStart w:id="713" w:name="_Toc332180841"/>
      <w:r>
        <w:rPr>
          <w:rFonts w:hint="eastAsia" w:ascii="宋体" w:hAnsi="宋体" w:eastAsia="宋体" w:cs="宋体"/>
          <w:kern w:val="0"/>
          <w:sz w:val="21"/>
          <w:szCs w:val="21"/>
          <w:highlight w:val="none"/>
        </w:rPr>
        <w:t>9.5 补植、换茬</w:t>
      </w:r>
      <w:bookmarkEnd w:id="713"/>
    </w:p>
    <w:p w14:paraId="1E1427DE">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9.5.1 缺株面积超过0.5m</w:t>
      </w:r>
      <w:r>
        <w:rPr>
          <w:rFonts w:hint="eastAsia" w:ascii="宋体" w:hAnsi="宋体" w:eastAsia="宋体" w:cs="宋体"/>
          <w:kern w:val="2"/>
          <w:sz w:val="21"/>
          <w:szCs w:val="21"/>
          <w:highlight w:val="none"/>
          <w:vertAlign w:val="superscript"/>
        </w:rPr>
        <w:t>2</w:t>
      </w:r>
      <w:r>
        <w:rPr>
          <w:rFonts w:hint="eastAsia" w:ascii="宋体" w:hAnsi="宋体" w:eastAsia="宋体" w:cs="宋体"/>
          <w:kern w:val="2"/>
          <w:sz w:val="21"/>
          <w:szCs w:val="21"/>
          <w:highlight w:val="none"/>
        </w:rPr>
        <w:t>，必须进行补植。补植草花应同品种同色系。</w:t>
      </w:r>
    </w:p>
    <w:p w14:paraId="50E5EF9B">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9.5.2 及时清除残花，当残花量大于50%，必须进行换茬。换茬间隔期间不得超过7天（遇阴雨天顺延）</w:t>
      </w:r>
    </w:p>
    <w:p w14:paraId="4FFD7206">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9.5.3 草花换茬次数根据绿地等级而定，一级绿地不少于6次/年，二级绿地不少于4次/年。新换草花的开花率需达到30%以上。</w:t>
      </w:r>
    </w:p>
    <w:p w14:paraId="490074CE">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9.5.4草花盛花期的开花率应在85%以上，种植密度以黄土不裸露为宜。</w:t>
      </w:r>
    </w:p>
    <w:p w14:paraId="0306A41E">
      <w:pPr>
        <w:spacing w:line="360" w:lineRule="auto"/>
        <w:rPr>
          <w:rFonts w:hint="eastAsia" w:ascii="宋体" w:hAnsi="宋体" w:eastAsia="宋体" w:cs="宋体"/>
          <w:b/>
          <w:kern w:val="2"/>
          <w:sz w:val="21"/>
          <w:szCs w:val="21"/>
          <w:highlight w:val="none"/>
        </w:rPr>
      </w:pPr>
    </w:p>
    <w:p w14:paraId="28403DFC">
      <w:pPr>
        <w:pStyle w:val="471"/>
        <w:spacing w:line="360" w:lineRule="auto"/>
        <w:jc w:val="center"/>
        <w:rPr>
          <w:rFonts w:hint="eastAsia" w:ascii="宋体" w:hAnsi="宋体" w:eastAsia="宋体" w:cs="宋体"/>
          <w:kern w:val="0"/>
          <w:sz w:val="21"/>
          <w:szCs w:val="21"/>
          <w:highlight w:val="none"/>
        </w:rPr>
      </w:pPr>
      <w:bookmarkStart w:id="714" w:name="_Toc332180846"/>
      <w:r>
        <w:rPr>
          <w:rFonts w:hint="eastAsia" w:ascii="宋体" w:hAnsi="宋体" w:eastAsia="宋体" w:cs="宋体"/>
          <w:kern w:val="0"/>
          <w:sz w:val="21"/>
          <w:szCs w:val="21"/>
          <w:highlight w:val="none"/>
        </w:rPr>
        <w:t>10、草坪</w:t>
      </w:r>
      <w:bookmarkEnd w:id="714"/>
    </w:p>
    <w:p w14:paraId="5918A371">
      <w:pPr>
        <w:spacing w:line="360" w:lineRule="auto"/>
        <w:ind w:firstLine="420" w:firstLineChars="200"/>
        <w:rPr>
          <w:rFonts w:hint="eastAsia" w:ascii="宋体" w:hAnsi="宋体" w:eastAsia="宋体" w:cs="宋体"/>
          <w:kern w:val="2"/>
          <w:sz w:val="21"/>
          <w:szCs w:val="21"/>
          <w:highlight w:val="none"/>
        </w:rPr>
      </w:pPr>
      <w:bookmarkStart w:id="715" w:name="_Toc332180847"/>
      <w:r>
        <w:rPr>
          <w:rFonts w:hint="eastAsia" w:ascii="宋体" w:hAnsi="宋体" w:eastAsia="宋体" w:cs="宋体"/>
          <w:kern w:val="2"/>
          <w:sz w:val="21"/>
          <w:szCs w:val="21"/>
          <w:highlight w:val="none"/>
        </w:rPr>
        <w:t>养护管理内容包括：浇灌与排水、修剪、病虫害防治、除草与切边、施肥、追播、复壮等。</w:t>
      </w:r>
    </w:p>
    <w:p w14:paraId="04C1FACE">
      <w:pPr>
        <w:pStyle w:val="471"/>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10.1 浇灌与排水</w:t>
      </w:r>
      <w:bookmarkEnd w:id="715"/>
    </w:p>
    <w:p w14:paraId="2C5BE0D5">
      <w:pPr>
        <w:spacing w:line="360" w:lineRule="auto"/>
        <w:ind w:firstLine="420" w:firstLineChars="200"/>
        <w:rPr>
          <w:rFonts w:hint="eastAsia" w:ascii="宋体" w:hAnsi="宋体" w:eastAsia="宋体" w:cs="宋体"/>
          <w:kern w:val="2"/>
          <w:sz w:val="21"/>
          <w:szCs w:val="21"/>
          <w:highlight w:val="none"/>
        </w:rPr>
      </w:pPr>
      <w:bookmarkStart w:id="716" w:name="_Toc332180848"/>
      <w:r>
        <w:rPr>
          <w:rFonts w:hint="eastAsia" w:ascii="宋体" w:hAnsi="宋体" w:eastAsia="宋体" w:cs="宋体"/>
          <w:kern w:val="2"/>
          <w:sz w:val="21"/>
          <w:szCs w:val="21"/>
          <w:highlight w:val="none"/>
        </w:rPr>
        <w:t>10.1.1 应根据立地条件、季节差异、草坪习性和生长状况及时浇灌，土壤含水量应保持在50-60%范围。当叶片发生萎蔫时，应及时浇水，每年浇水至少10次以上。每年春季草坪萌发前要浇春水至少1次，冬季休眠前浇防冻水至少1次，5月至10月期间，连续15天无降雨应浇透水1次。</w:t>
      </w:r>
    </w:p>
    <w:bookmarkEnd w:id="716"/>
    <w:p w14:paraId="6FF3A5D0">
      <w:pPr>
        <w:spacing w:line="360" w:lineRule="auto"/>
        <w:ind w:firstLine="420" w:firstLineChars="200"/>
        <w:rPr>
          <w:rFonts w:hint="eastAsia" w:ascii="宋体" w:hAnsi="宋体" w:eastAsia="宋体" w:cs="宋体"/>
          <w:kern w:val="2"/>
          <w:sz w:val="21"/>
          <w:szCs w:val="21"/>
          <w:highlight w:val="none"/>
        </w:rPr>
      </w:pPr>
      <w:bookmarkStart w:id="717" w:name="_Toc332180849"/>
      <w:r>
        <w:rPr>
          <w:rFonts w:hint="eastAsia" w:ascii="宋体" w:hAnsi="宋体" w:eastAsia="宋体" w:cs="宋体"/>
          <w:kern w:val="2"/>
          <w:sz w:val="21"/>
          <w:szCs w:val="21"/>
          <w:highlight w:val="none"/>
        </w:rPr>
        <w:t>10.1.2 浇水必须湿透根系层，浸湿土层应大于5cm；沙质土壤应勤浇水，粘质土壤应合理浇水。</w:t>
      </w:r>
      <w:bookmarkEnd w:id="717"/>
    </w:p>
    <w:p w14:paraId="6294E85E">
      <w:pPr>
        <w:spacing w:line="360" w:lineRule="auto"/>
        <w:ind w:firstLine="420" w:firstLineChars="200"/>
        <w:rPr>
          <w:rFonts w:hint="eastAsia" w:ascii="宋体" w:hAnsi="宋体" w:eastAsia="宋体" w:cs="宋体"/>
          <w:kern w:val="2"/>
          <w:sz w:val="21"/>
          <w:szCs w:val="21"/>
          <w:highlight w:val="none"/>
        </w:rPr>
      </w:pPr>
      <w:bookmarkStart w:id="718" w:name="_Toc332180850"/>
      <w:r>
        <w:rPr>
          <w:rFonts w:hint="eastAsia" w:ascii="宋体" w:hAnsi="宋体" w:eastAsia="宋体" w:cs="宋体"/>
          <w:kern w:val="2"/>
          <w:sz w:val="21"/>
          <w:szCs w:val="21"/>
          <w:highlight w:val="none"/>
        </w:rPr>
        <w:t>10.1.3 浇水必须湿透根系层，</w:t>
      </w:r>
      <w:r>
        <w:rPr>
          <w:rFonts w:hint="eastAsia" w:ascii="宋体" w:hAnsi="宋体" w:eastAsia="宋体" w:cs="宋体"/>
          <w:kern w:val="0"/>
          <w:sz w:val="21"/>
          <w:szCs w:val="21"/>
          <w:highlight w:val="none"/>
        </w:rPr>
        <w:t>浸湿土层应大于5cm</w:t>
      </w:r>
      <w:r>
        <w:rPr>
          <w:rFonts w:hint="eastAsia" w:ascii="宋体" w:hAnsi="宋体" w:eastAsia="宋体" w:cs="宋体"/>
          <w:kern w:val="2"/>
          <w:sz w:val="21"/>
          <w:szCs w:val="21"/>
          <w:highlight w:val="none"/>
        </w:rPr>
        <w:t>。</w:t>
      </w:r>
      <w:bookmarkEnd w:id="718"/>
    </w:p>
    <w:p w14:paraId="6DE4300F">
      <w:pPr>
        <w:spacing w:line="360" w:lineRule="auto"/>
        <w:ind w:firstLine="420" w:firstLineChars="200"/>
        <w:rPr>
          <w:rFonts w:hint="eastAsia" w:ascii="宋体" w:hAnsi="宋体" w:eastAsia="宋体" w:cs="宋体"/>
          <w:kern w:val="2"/>
          <w:sz w:val="21"/>
          <w:szCs w:val="21"/>
          <w:highlight w:val="none"/>
        </w:rPr>
      </w:pPr>
      <w:bookmarkStart w:id="719" w:name="_Toc332180851"/>
      <w:r>
        <w:rPr>
          <w:rFonts w:hint="eastAsia" w:ascii="宋体" w:hAnsi="宋体" w:eastAsia="宋体" w:cs="宋体"/>
          <w:kern w:val="2"/>
          <w:sz w:val="21"/>
          <w:szCs w:val="21"/>
          <w:highlight w:val="none"/>
        </w:rPr>
        <w:t>10.1.3 雨后积水应及时排除，积水时间不能超过1小时。</w:t>
      </w:r>
      <w:bookmarkEnd w:id="719"/>
    </w:p>
    <w:p w14:paraId="534B63E2">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10.1.4 绿地内应逐步完善喷灌或滴管系统。</w:t>
      </w:r>
    </w:p>
    <w:p w14:paraId="38AD1B33">
      <w:pPr>
        <w:pStyle w:val="471"/>
        <w:spacing w:line="360" w:lineRule="auto"/>
        <w:jc w:val="center"/>
        <w:rPr>
          <w:rFonts w:hint="eastAsia" w:ascii="宋体" w:hAnsi="宋体" w:eastAsia="宋体" w:cs="宋体"/>
          <w:kern w:val="0"/>
          <w:sz w:val="21"/>
          <w:szCs w:val="21"/>
          <w:highlight w:val="none"/>
        </w:rPr>
      </w:pPr>
      <w:bookmarkStart w:id="720" w:name="_Toc332180852"/>
      <w:r>
        <w:rPr>
          <w:rFonts w:hint="eastAsia" w:ascii="宋体" w:hAnsi="宋体" w:eastAsia="宋体" w:cs="宋体"/>
          <w:kern w:val="0"/>
          <w:sz w:val="21"/>
          <w:szCs w:val="21"/>
          <w:highlight w:val="none"/>
        </w:rPr>
        <w:t>10.2 修剪</w:t>
      </w:r>
      <w:bookmarkEnd w:id="720"/>
    </w:p>
    <w:p w14:paraId="54ACE54D">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10.2.1 草坪应定期修剪，修剪高度应当一致，边缘整齐。要根据暖季型草坪、冷季型草坪和混播草坪的不同生长习性，及时进行修剪。一般情况下常州地区每年修剪15次以上，每年草坪越冬前应重修剪1次，5-10月期间，每10-15天应修剪1次。一般草坪和杂草型草坪每年应修剪5次以上，越冬前应重修剪1次。</w:t>
      </w:r>
    </w:p>
    <w:p w14:paraId="176B7BA9">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10.2.2</w:t>
      </w:r>
      <w:r>
        <w:rPr>
          <w:rFonts w:hint="eastAsia" w:ascii="宋体" w:hAnsi="宋体" w:eastAsia="宋体" w:cs="宋体"/>
          <w:kern w:val="0"/>
          <w:sz w:val="21"/>
          <w:szCs w:val="21"/>
          <w:highlight w:val="none"/>
        </w:rPr>
        <w:t xml:space="preserve"> </w:t>
      </w:r>
      <w:r>
        <w:rPr>
          <w:rFonts w:hint="eastAsia" w:ascii="宋体" w:hAnsi="宋体" w:eastAsia="宋体" w:cs="宋体"/>
          <w:kern w:val="2"/>
          <w:sz w:val="21"/>
          <w:szCs w:val="21"/>
          <w:highlight w:val="none"/>
        </w:rPr>
        <w:t>草坪生长季节应采用条纹状交叉修剪方式，按1/3原则进行适时修剪。冷季型草坪留茬高度不超过6-7cm，暖季型草坪留茬高度不超过4-5cm。当草坪实际高度超过额定高度1/3时，应进行修剪。混播草坪的低修剪应根据气候条件，在2月底至4月上旬间进行，降低留茬高度，以确保暖季型草坪出芽。</w:t>
      </w:r>
    </w:p>
    <w:p w14:paraId="3C79B789">
      <w:pPr>
        <w:spacing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10.2.3 修剪机具刀刃必须锋利，剪口应无撕裂现象。</w:t>
      </w:r>
    </w:p>
    <w:p w14:paraId="3A3258C5">
      <w:pPr>
        <w:spacing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10.2.4 雨后或叶面有露水或刚浇水的草坪不宜修剪。</w:t>
      </w:r>
    </w:p>
    <w:p w14:paraId="4099810D">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10.2.5 修剪后，草</w:t>
      </w:r>
      <w:r>
        <w:rPr>
          <w:rFonts w:hint="eastAsia" w:ascii="宋体" w:hAnsi="宋体" w:eastAsia="宋体" w:cs="宋体"/>
          <w:kern w:val="0"/>
          <w:sz w:val="21"/>
          <w:szCs w:val="21"/>
          <w:highlight w:val="none"/>
        </w:rPr>
        <w:t>屑应</w:t>
      </w:r>
      <w:r>
        <w:rPr>
          <w:rFonts w:hint="eastAsia" w:ascii="宋体" w:hAnsi="宋体" w:eastAsia="宋体" w:cs="宋体"/>
          <w:kern w:val="2"/>
          <w:sz w:val="21"/>
          <w:szCs w:val="21"/>
          <w:highlight w:val="none"/>
        </w:rPr>
        <w:t>及时清理，确保工完场地清。</w:t>
      </w:r>
    </w:p>
    <w:p w14:paraId="399B99D4">
      <w:pPr>
        <w:pStyle w:val="471"/>
        <w:spacing w:line="360" w:lineRule="auto"/>
        <w:jc w:val="center"/>
        <w:rPr>
          <w:rFonts w:hint="eastAsia" w:ascii="宋体" w:hAnsi="宋体" w:eastAsia="宋体" w:cs="宋体"/>
          <w:kern w:val="0"/>
          <w:sz w:val="21"/>
          <w:szCs w:val="21"/>
          <w:highlight w:val="none"/>
        </w:rPr>
      </w:pPr>
      <w:bookmarkStart w:id="721" w:name="_Toc332180853"/>
      <w:r>
        <w:rPr>
          <w:rFonts w:hint="eastAsia" w:ascii="宋体" w:hAnsi="宋体" w:eastAsia="宋体" w:cs="宋体"/>
          <w:kern w:val="0"/>
          <w:sz w:val="21"/>
          <w:szCs w:val="21"/>
          <w:highlight w:val="none"/>
        </w:rPr>
        <w:t>10.3病虫害防治</w:t>
      </w:r>
      <w:bookmarkEnd w:id="721"/>
    </w:p>
    <w:p w14:paraId="43DEF596">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10.3.1 每年防治病虫害5次以上，特别是地下害虫。草坪整体受害率应小于5%，其余参照3.3.1执行。</w:t>
      </w:r>
    </w:p>
    <w:p w14:paraId="6B8E79CA">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10.3.2 春秋季节应注意防治刺吸类害虫如蚜虫、飞虱、叶蝉等，应注意白粉病、锈病、褐斑病等病害的预防；高温季节应注意蛴螬、斜纹夜蛾、淡剑夜蛾、草地螟等害虫，多雨季节应注意腐霉病、粘菌、霜霉病等病害。</w:t>
      </w:r>
    </w:p>
    <w:p w14:paraId="5D951234">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10.3.5 建立病虫害防治网络，及时进行预测预报，并做好台帐记录。</w:t>
      </w:r>
    </w:p>
    <w:p w14:paraId="2A8AFF6D">
      <w:pPr>
        <w:pStyle w:val="471"/>
        <w:spacing w:line="360" w:lineRule="auto"/>
        <w:jc w:val="center"/>
        <w:rPr>
          <w:rFonts w:hint="eastAsia" w:ascii="宋体" w:hAnsi="宋体" w:eastAsia="宋体" w:cs="宋体"/>
          <w:kern w:val="0"/>
          <w:sz w:val="21"/>
          <w:szCs w:val="21"/>
          <w:highlight w:val="none"/>
        </w:rPr>
      </w:pPr>
      <w:bookmarkStart w:id="722" w:name="_Toc332180854"/>
      <w:r>
        <w:rPr>
          <w:rFonts w:hint="eastAsia" w:ascii="宋体" w:hAnsi="宋体" w:eastAsia="宋体" w:cs="宋体"/>
          <w:kern w:val="0"/>
          <w:sz w:val="21"/>
          <w:szCs w:val="21"/>
          <w:highlight w:val="none"/>
        </w:rPr>
        <w:t>10.4 除草</w:t>
      </w:r>
      <w:bookmarkEnd w:id="722"/>
      <w:r>
        <w:rPr>
          <w:rFonts w:hint="eastAsia" w:ascii="宋体" w:hAnsi="宋体" w:eastAsia="宋体" w:cs="宋体"/>
          <w:kern w:val="0"/>
          <w:sz w:val="21"/>
          <w:szCs w:val="21"/>
          <w:highlight w:val="none"/>
        </w:rPr>
        <w:t>与切边</w:t>
      </w:r>
    </w:p>
    <w:p w14:paraId="5A9740F4">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10.4.1 除草参照6.4执行</w:t>
      </w:r>
    </w:p>
    <w:p w14:paraId="449A8B45">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10.4.2 与树木交界处，边缘应进行切边处理或留出积水穴，宽度宜20-50cm，深度宜10cm。</w:t>
      </w:r>
    </w:p>
    <w:p w14:paraId="24DADD15">
      <w:pPr>
        <w:pStyle w:val="471"/>
        <w:spacing w:line="360" w:lineRule="auto"/>
        <w:jc w:val="center"/>
        <w:rPr>
          <w:rFonts w:hint="eastAsia" w:ascii="宋体" w:hAnsi="宋体" w:eastAsia="宋体" w:cs="宋体"/>
          <w:kern w:val="0"/>
          <w:sz w:val="21"/>
          <w:szCs w:val="21"/>
          <w:highlight w:val="none"/>
        </w:rPr>
      </w:pPr>
      <w:bookmarkStart w:id="723" w:name="_Toc332180855"/>
      <w:r>
        <w:rPr>
          <w:rFonts w:hint="eastAsia" w:ascii="宋体" w:hAnsi="宋体" w:eastAsia="宋体" w:cs="宋体"/>
          <w:kern w:val="0"/>
          <w:sz w:val="21"/>
          <w:szCs w:val="21"/>
          <w:highlight w:val="none"/>
        </w:rPr>
        <w:t>10.5 施肥</w:t>
      </w:r>
      <w:bookmarkEnd w:id="723"/>
    </w:p>
    <w:p w14:paraId="51E0E532">
      <w:pPr>
        <w:spacing w:line="360" w:lineRule="auto"/>
        <w:ind w:firstLine="420" w:firstLineChars="200"/>
        <w:rPr>
          <w:rFonts w:hint="eastAsia" w:ascii="宋体" w:hAnsi="宋体" w:eastAsia="宋体" w:cs="宋体"/>
          <w:kern w:val="2"/>
          <w:sz w:val="21"/>
          <w:szCs w:val="21"/>
          <w:highlight w:val="none"/>
        </w:rPr>
      </w:pPr>
      <w:bookmarkStart w:id="724" w:name="_Toc332180856"/>
      <w:r>
        <w:rPr>
          <w:rFonts w:hint="eastAsia" w:ascii="宋体" w:hAnsi="宋体" w:eastAsia="宋体" w:cs="宋体"/>
          <w:kern w:val="2"/>
          <w:sz w:val="21"/>
          <w:szCs w:val="21"/>
          <w:highlight w:val="none"/>
        </w:rPr>
        <w:t>10.5.1 根据草坪品种、长势情况和气候条件进行施肥。</w:t>
      </w:r>
      <w:bookmarkEnd w:id="724"/>
    </w:p>
    <w:p w14:paraId="07AD1C0D">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10.5.2 草坪越冬期宜施有机肥料，平时宜薄肥勤施。</w:t>
      </w:r>
    </w:p>
    <w:p w14:paraId="19BAC999">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10.5.3 施用量为有机肥每年宜1kg/m</w:t>
      </w:r>
      <w:r>
        <w:rPr>
          <w:rFonts w:hint="eastAsia" w:ascii="宋体" w:hAnsi="宋体" w:eastAsia="宋体" w:cs="宋体"/>
          <w:kern w:val="2"/>
          <w:sz w:val="21"/>
          <w:szCs w:val="21"/>
          <w:highlight w:val="none"/>
          <w:vertAlign w:val="superscript"/>
        </w:rPr>
        <w:t>2</w:t>
      </w:r>
      <w:r>
        <w:rPr>
          <w:rFonts w:hint="eastAsia" w:ascii="宋体" w:hAnsi="宋体" w:eastAsia="宋体" w:cs="宋体"/>
          <w:kern w:val="2"/>
          <w:sz w:val="21"/>
          <w:szCs w:val="21"/>
          <w:highlight w:val="none"/>
        </w:rPr>
        <w:t>，复合肥每月宜15g/m</w:t>
      </w:r>
      <w:r>
        <w:rPr>
          <w:rFonts w:hint="eastAsia" w:ascii="宋体" w:hAnsi="宋体" w:eastAsia="宋体" w:cs="宋体"/>
          <w:kern w:val="2"/>
          <w:sz w:val="21"/>
          <w:szCs w:val="21"/>
          <w:highlight w:val="none"/>
          <w:vertAlign w:val="superscript"/>
        </w:rPr>
        <w:t>2</w:t>
      </w:r>
      <w:r>
        <w:rPr>
          <w:rFonts w:hint="eastAsia" w:ascii="宋体" w:hAnsi="宋体" w:eastAsia="宋体" w:cs="宋体"/>
          <w:kern w:val="2"/>
          <w:sz w:val="21"/>
          <w:szCs w:val="21"/>
          <w:highlight w:val="none"/>
        </w:rPr>
        <w:t xml:space="preserve"> —20g/m</w:t>
      </w:r>
      <w:r>
        <w:rPr>
          <w:rFonts w:hint="eastAsia" w:ascii="宋体" w:hAnsi="宋体" w:eastAsia="宋体" w:cs="宋体"/>
          <w:kern w:val="2"/>
          <w:sz w:val="21"/>
          <w:szCs w:val="21"/>
          <w:highlight w:val="none"/>
          <w:vertAlign w:val="superscript"/>
        </w:rPr>
        <w:t>2</w:t>
      </w:r>
      <w:r>
        <w:rPr>
          <w:rFonts w:hint="eastAsia" w:ascii="宋体" w:hAnsi="宋体" w:eastAsia="宋体" w:cs="宋体"/>
          <w:kern w:val="2"/>
          <w:sz w:val="21"/>
          <w:szCs w:val="21"/>
          <w:highlight w:val="none"/>
        </w:rPr>
        <w:t>。</w:t>
      </w:r>
    </w:p>
    <w:p w14:paraId="2202C008">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10.5.4 施肥方法可采用颗粒撒施、叶面喷施和灌溉施肥。</w:t>
      </w:r>
    </w:p>
    <w:p w14:paraId="698A1CCF">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10.5.5 肥料撒施后应立即充分浇水，以免化肥灼伤叶片。</w:t>
      </w:r>
    </w:p>
    <w:p w14:paraId="755118C2">
      <w:pPr>
        <w:pStyle w:val="471"/>
        <w:spacing w:line="360" w:lineRule="auto"/>
        <w:jc w:val="center"/>
        <w:rPr>
          <w:rFonts w:hint="eastAsia" w:ascii="宋体" w:hAnsi="宋体" w:eastAsia="宋体" w:cs="宋体"/>
          <w:kern w:val="0"/>
          <w:sz w:val="21"/>
          <w:szCs w:val="21"/>
          <w:highlight w:val="none"/>
        </w:rPr>
      </w:pPr>
      <w:bookmarkStart w:id="725" w:name="_Toc332180857"/>
      <w:r>
        <w:rPr>
          <w:rFonts w:hint="eastAsia" w:ascii="宋体" w:hAnsi="宋体" w:eastAsia="宋体" w:cs="宋体"/>
          <w:kern w:val="0"/>
          <w:sz w:val="21"/>
          <w:szCs w:val="21"/>
          <w:highlight w:val="none"/>
        </w:rPr>
        <w:t>10.6 追播</w:t>
      </w:r>
      <w:bookmarkEnd w:id="725"/>
    </w:p>
    <w:p w14:paraId="39061A48">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10.6.1 混播草坪应在9月下旬至10月上中旬追播冷季型草坪。</w:t>
      </w:r>
    </w:p>
    <w:p w14:paraId="03B04677">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10.6.2 播籽前应进行低修剪，留茬高度应低于3cm。</w:t>
      </w:r>
    </w:p>
    <w:p w14:paraId="1303AEEA">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10.6.3 冷季型草坪播种量应为20g/m</w:t>
      </w:r>
      <w:r>
        <w:rPr>
          <w:rFonts w:hint="eastAsia" w:ascii="宋体" w:hAnsi="宋体" w:eastAsia="宋体" w:cs="宋体"/>
          <w:kern w:val="2"/>
          <w:sz w:val="21"/>
          <w:szCs w:val="21"/>
          <w:highlight w:val="none"/>
          <w:vertAlign w:val="superscript"/>
        </w:rPr>
        <w:t>2</w:t>
      </w:r>
      <w:r>
        <w:rPr>
          <w:rFonts w:hint="eastAsia" w:ascii="宋体" w:hAnsi="宋体" w:eastAsia="宋体" w:cs="宋体"/>
          <w:kern w:val="2"/>
          <w:sz w:val="21"/>
          <w:szCs w:val="21"/>
          <w:highlight w:val="none"/>
        </w:rPr>
        <w:t xml:space="preserve"> — 25g/m</w:t>
      </w:r>
      <w:r>
        <w:rPr>
          <w:rFonts w:hint="eastAsia" w:ascii="宋体" w:hAnsi="宋体" w:eastAsia="宋体" w:cs="宋体"/>
          <w:kern w:val="2"/>
          <w:sz w:val="21"/>
          <w:szCs w:val="21"/>
          <w:highlight w:val="none"/>
          <w:vertAlign w:val="superscript"/>
        </w:rPr>
        <w:t>2</w:t>
      </w:r>
      <w:r>
        <w:rPr>
          <w:rFonts w:hint="eastAsia" w:ascii="宋体" w:hAnsi="宋体" w:eastAsia="宋体" w:cs="宋体"/>
          <w:kern w:val="2"/>
          <w:sz w:val="21"/>
          <w:szCs w:val="21"/>
          <w:highlight w:val="none"/>
        </w:rPr>
        <w:t>，种子纯度98%以上，播种要均匀。</w:t>
      </w:r>
    </w:p>
    <w:p w14:paraId="7AB1D8F6">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10.6.4 播种后必须均匀喷水保持土壤湿润，出苗后正常养护。</w:t>
      </w:r>
    </w:p>
    <w:p w14:paraId="290665A6">
      <w:pPr>
        <w:pStyle w:val="471"/>
        <w:spacing w:line="360" w:lineRule="auto"/>
        <w:jc w:val="center"/>
        <w:rPr>
          <w:rFonts w:hint="eastAsia" w:ascii="宋体" w:hAnsi="宋体" w:eastAsia="宋体" w:cs="宋体"/>
          <w:kern w:val="0"/>
          <w:sz w:val="21"/>
          <w:szCs w:val="21"/>
          <w:highlight w:val="none"/>
        </w:rPr>
      </w:pPr>
      <w:bookmarkStart w:id="726" w:name="_Toc332180858"/>
      <w:r>
        <w:rPr>
          <w:rFonts w:hint="eastAsia" w:ascii="宋体" w:hAnsi="宋体" w:eastAsia="宋体" w:cs="宋体"/>
          <w:kern w:val="0"/>
          <w:sz w:val="21"/>
          <w:szCs w:val="21"/>
          <w:highlight w:val="none"/>
        </w:rPr>
        <w:t>10.7 复壮</w:t>
      </w:r>
      <w:bookmarkEnd w:id="726"/>
    </w:p>
    <w:p w14:paraId="1F0C7D11">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10.7.1 当枯草层增厚，土层通气性差，空秃严重，杂草明显，必须复壮更新，每3-5年1次。</w:t>
      </w:r>
    </w:p>
    <w:p w14:paraId="5BF3FB94">
      <w:pPr>
        <w:spacing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2"/>
          <w:sz w:val="21"/>
          <w:szCs w:val="21"/>
          <w:highlight w:val="none"/>
        </w:rPr>
        <w:t xml:space="preserve">10.7.2 </w:t>
      </w:r>
      <w:r>
        <w:rPr>
          <w:rFonts w:hint="eastAsia" w:ascii="宋体" w:hAnsi="宋体" w:eastAsia="宋体" w:cs="宋体"/>
          <w:kern w:val="0"/>
          <w:sz w:val="21"/>
          <w:szCs w:val="21"/>
          <w:highlight w:val="none"/>
        </w:rPr>
        <w:t>枯草层可采用疏草机或钢齿耙消除；应用打孔机打孔改善土壤通气性；结合打孔增施有机肥、复合肥,并适当覆黄沙改良表层土壤。</w:t>
      </w:r>
    </w:p>
    <w:p w14:paraId="26D9A65D">
      <w:pPr>
        <w:spacing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2"/>
          <w:sz w:val="21"/>
          <w:szCs w:val="21"/>
          <w:highlight w:val="none"/>
        </w:rPr>
        <w:t>10</w:t>
      </w:r>
      <w:r>
        <w:rPr>
          <w:rFonts w:hint="eastAsia" w:ascii="宋体" w:hAnsi="宋体" w:eastAsia="宋体" w:cs="宋体"/>
          <w:kern w:val="0"/>
          <w:sz w:val="21"/>
          <w:szCs w:val="21"/>
          <w:highlight w:val="none"/>
        </w:rPr>
        <w:t>.7.3 草坪高低悬殊出现秃斑或成片杂草侵入,在采取相应的平整除草措施后用同类草籽或草皮修补。</w:t>
      </w:r>
    </w:p>
    <w:bookmarkEnd w:id="684"/>
    <w:bookmarkEnd w:id="685"/>
    <w:p w14:paraId="7C0CFE3B">
      <w:pPr>
        <w:spacing w:line="360" w:lineRule="auto"/>
        <w:rPr>
          <w:rFonts w:hint="eastAsia" w:ascii="宋体" w:hAnsi="宋体" w:eastAsia="宋体" w:cs="宋体"/>
          <w:b/>
          <w:bCs/>
          <w:kern w:val="2"/>
          <w:sz w:val="21"/>
          <w:szCs w:val="21"/>
          <w:highlight w:val="none"/>
        </w:rPr>
      </w:pPr>
    </w:p>
    <w:p w14:paraId="5C6BDDE1">
      <w:pPr>
        <w:spacing w:line="360" w:lineRule="auto"/>
        <w:jc w:val="center"/>
        <w:rPr>
          <w:rFonts w:hint="eastAsia" w:ascii="宋体" w:hAnsi="宋体" w:eastAsia="宋体" w:cs="宋体"/>
          <w:b/>
          <w:bCs/>
          <w:kern w:val="2"/>
          <w:sz w:val="21"/>
          <w:szCs w:val="21"/>
          <w:highlight w:val="none"/>
        </w:rPr>
      </w:pPr>
    </w:p>
    <w:p w14:paraId="1C4EEF2E">
      <w:pPr>
        <w:spacing w:line="360" w:lineRule="auto"/>
        <w:jc w:val="center"/>
        <w:rPr>
          <w:rFonts w:hint="eastAsia" w:ascii="宋体" w:hAnsi="宋体" w:eastAsia="宋体" w:cs="宋体"/>
          <w:b/>
          <w:bCs/>
          <w:kern w:val="2"/>
          <w:sz w:val="21"/>
          <w:szCs w:val="21"/>
          <w:highlight w:val="none"/>
        </w:rPr>
      </w:pPr>
    </w:p>
    <w:p w14:paraId="093E9E32">
      <w:pPr>
        <w:spacing w:line="360" w:lineRule="auto"/>
        <w:jc w:val="center"/>
        <w:rPr>
          <w:rFonts w:hint="eastAsia" w:ascii="宋体" w:hAnsi="宋体" w:eastAsia="宋体" w:cs="宋体"/>
          <w:b/>
          <w:bCs/>
          <w:kern w:val="2"/>
          <w:sz w:val="21"/>
          <w:szCs w:val="21"/>
          <w:highlight w:val="none"/>
        </w:rPr>
      </w:pPr>
    </w:p>
    <w:p w14:paraId="7C372215">
      <w:pPr>
        <w:spacing w:line="360" w:lineRule="auto"/>
        <w:jc w:val="center"/>
        <w:rPr>
          <w:rFonts w:hint="eastAsia" w:ascii="宋体" w:hAnsi="宋体" w:eastAsia="宋体" w:cs="宋体"/>
          <w:b/>
          <w:bCs/>
          <w:kern w:val="2"/>
          <w:sz w:val="21"/>
          <w:szCs w:val="21"/>
          <w:highlight w:val="none"/>
        </w:rPr>
      </w:pPr>
    </w:p>
    <w:p w14:paraId="77697664">
      <w:pPr>
        <w:spacing w:line="360" w:lineRule="auto"/>
        <w:jc w:val="center"/>
        <w:rPr>
          <w:rFonts w:hint="eastAsia" w:ascii="宋体" w:hAnsi="宋体" w:eastAsia="宋体" w:cs="宋体"/>
          <w:b/>
          <w:bCs/>
          <w:kern w:val="2"/>
          <w:sz w:val="21"/>
          <w:szCs w:val="21"/>
          <w:highlight w:val="none"/>
        </w:rPr>
      </w:pPr>
    </w:p>
    <w:p w14:paraId="2F158A77">
      <w:pPr>
        <w:spacing w:line="360" w:lineRule="auto"/>
        <w:jc w:val="center"/>
        <w:rPr>
          <w:rFonts w:hint="eastAsia" w:ascii="宋体" w:hAnsi="宋体" w:eastAsia="宋体" w:cs="宋体"/>
          <w:b/>
          <w:bCs/>
          <w:kern w:val="2"/>
          <w:sz w:val="21"/>
          <w:szCs w:val="21"/>
          <w:highlight w:val="none"/>
        </w:rPr>
      </w:pPr>
    </w:p>
    <w:p w14:paraId="6A85D390">
      <w:pPr>
        <w:spacing w:line="360" w:lineRule="auto"/>
        <w:jc w:val="center"/>
        <w:rPr>
          <w:rFonts w:hint="eastAsia" w:ascii="宋体" w:hAnsi="宋体" w:eastAsia="宋体" w:cs="宋体"/>
          <w:b/>
          <w:bCs/>
          <w:kern w:val="2"/>
          <w:sz w:val="21"/>
          <w:szCs w:val="21"/>
          <w:highlight w:val="none"/>
        </w:rPr>
      </w:pPr>
    </w:p>
    <w:p w14:paraId="1ACB53CB">
      <w:pPr>
        <w:spacing w:line="360" w:lineRule="auto"/>
        <w:jc w:val="center"/>
        <w:rPr>
          <w:rFonts w:hint="eastAsia" w:ascii="宋体" w:hAnsi="宋体" w:eastAsia="宋体" w:cs="宋体"/>
          <w:b/>
          <w:bCs/>
          <w:kern w:val="2"/>
          <w:sz w:val="21"/>
          <w:szCs w:val="21"/>
          <w:highlight w:val="none"/>
        </w:rPr>
      </w:pPr>
    </w:p>
    <w:p w14:paraId="747E27A5">
      <w:pPr>
        <w:spacing w:line="360" w:lineRule="auto"/>
        <w:jc w:val="center"/>
        <w:rPr>
          <w:rFonts w:hint="eastAsia" w:ascii="宋体" w:hAnsi="宋体" w:eastAsia="宋体" w:cs="宋体"/>
          <w:b/>
          <w:bCs/>
          <w:kern w:val="2"/>
          <w:sz w:val="21"/>
          <w:szCs w:val="21"/>
          <w:highlight w:val="none"/>
        </w:rPr>
      </w:pPr>
    </w:p>
    <w:p w14:paraId="4192C061">
      <w:pPr>
        <w:spacing w:line="360" w:lineRule="auto"/>
        <w:jc w:val="center"/>
        <w:rPr>
          <w:rFonts w:hint="eastAsia" w:ascii="宋体" w:hAnsi="宋体" w:eastAsia="宋体" w:cs="宋体"/>
          <w:b/>
          <w:bCs/>
          <w:kern w:val="2"/>
          <w:sz w:val="21"/>
          <w:szCs w:val="21"/>
          <w:highlight w:val="none"/>
        </w:rPr>
      </w:pPr>
    </w:p>
    <w:p w14:paraId="67513DE5">
      <w:pPr>
        <w:spacing w:line="360" w:lineRule="auto"/>
        <w:jc w:val="center"/>
        <w:rPr>
          <w:rFonts w:hint="eastAsia" w:ascii="宋体" w:hAnsi="宋体" w:eastAsia="宋体" w:cs="宋体"/>
          <w:b/>
          <w:bCs/>
          <w:kern w:val="2"/>
          <w:sz w:val="21"/>
          <w:szCs w:val="21"/>
          <w:highlight w:val="none"/>
        </w:rPr>
      </w:pPr>
    </w:p>
    <w:p w14:paraId="42539852">
      <w:pPr>
        <w:spacing w:line="360" w:lineRule="auto"/>
        <w:jc w:val="center"/>
        <w:rPr>
          <w:rFonts w:hint="eastAsia" w:ascii="宋体" w:hAnsi="宋体" w:eastAsia="宋体" w:cs="宋体"/>
          <w:b/>
          <w:bCs/>
          <w:kern w:val="2"/>
          <w:sz w:val="21"/>
          <w:szCs w:val="21"/>
          <w:highlight w:val="none"/>
        </w:rPr>
      </w:pPr>
    </w:p>
    <w:p w14:paraId="7FCE1774">
      <w:pPr>
        <w:spacing w:line="360" w:lineRule="auto"/>
        <w:jc w:val="both"/>
        <w:rPr>
          <w:rFonts w:hint="eastAsia" w:ascii="宋体" w:hAnsi="宋体" w:eastAsia="宋体" w:cs="宋体"/>
          <w:b/>
          <w:bCs/>
          <w:kern w:val="2"/>
          <w:sz w:val="21"/>
          <w:szCs w:val="21"/>
          <w:highlight w:val="none"/>
        </w:rPr>
      </w:pPr>
    </w:p>
    <w:p w14:paraId="062211DA">
      <w:pPr>
        <w:spacing w:line="360" w:lineRule="auto"/>
        <w:jc w:val="center"/>
        <w:rPr>
          <w:rFonts w:hint="eastAsia" w:ascii="宋体" w:hAnsi="宋体" w:eastAsia="宋体" w:cs="宋体"/>
          <w:b/>
          <w:bCs/>
          <w:kern w:val="2"/>
          <w:sz w:val="21"/>
          <w:szCs w:val="21"/>
          <w:highlight w:val="none"/>
        </w:rPr>
      </w:pPr>
      <w:r>
        <w:rPr>
          <w:rFonts w:hint="eastAsia" w:ascii="宋体" w:hAnsi="宋体" w:eastAsia="宋体" w:cs="宋体"/>
          <w:b/>
          <w:bCs/>
          <w:kern w:val="2"/>
          <w:sz w:val="21"/>
          <w:szCs w:val="21"/>
          <w:highlight w:val="none"/>
        </w:rPr>
        <w:t>朱林镇园林绿化养护标准</w:t>
      </w:r>
    </w:p>
    <w:p w14:paraId="4769C751">
      <w:pPr>
        <w:spacing w:line="360" w:lineRule="auto"/>
        <w:rPr>
          <w:rFonts w:hint="eastAsia" w:ascii="宋体" w:hAnsi="宋体" w:eastAsia="宋体" w:cs="宋体"/>
          <w:b/>
          <w:kern w:val="2"/>
          <w:sz w:val="21"/>
          <w:szCs w:val="21"/>
          <w:highlight w:val="none"/>
        </w:rPr>
      </w:pPr>
      <w:r>
        <w:rPr>
          <w:rFonts w:hint="eastAsia" w:ascii="宋体" w:hAnsi="宋体" w:eastAsia="宋体" w:cs="宋体"/>
          <w:b/>
          <w:kern w:val="2"/>
          <w:sz w:val="21"/>
          <w:szCs w:val="21"/>
          <w:highlight w:val="none"/>
        </w:rPr>
        <w:t>1．养护机械设备要求</w:t>
      </w:r>
    </w:p>
    <w:p w14:paraId="63994E4E">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（1）巡视车每天用于路段巡视，要求车辆便于巡查时随时停放。</w:t>
      </w:r>
    </w:p>
    <w:p w14:paraId="2F698E2F">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（2）清运货车必须固定有清运货车1辆，每天用于路段清运垃圾，严禁在养护标段上使用农用车或拖拉机。</w:t>
      </w:r>
    </w:p>
    <w:p w14:paraId="7014AF0E">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（3）水车养护区域必须是正规水车，禁止在正规水车槽罐上乱涂乱刷。</w:t>
      </w:r>
    </w:p>
    <w:p w14:paraId="50CE51C3">
      <w:pPr>
        <w:spacing w:line="360" w:lineRule="auto"/>
        <w:rPr>
          <w:rFonts w:hint="eastAsia" w:ascii="宋体" w:hAnsi="宋体" w:eastAsia="宋体" w:cs="宋体"/>
          <w:b/>
          <w:kern w:val="2"/>
          <w:sz w:val="21"/>
          <w:szCs w:val="21"/>
          <w:highlight w:val="none"/>
        </w:rPr>
      </w:pPr>
      <w:r>
        <w:rPr>
          <w:rFonts w:hint="eastAsia" w:ascii="宋体" w:hAnsi="宋体" w:eastAsia="宋体" w:cs="宋体"/>
          <w:b/>
          <w:kern w:val="2"/>
          <w:sz w:val="21"/>
          <w:szCs w:val="21"/>
          <w:highlight w:val="none"/>
        </w:rPr>
        <w:t>2．绿化修剪</w:t>
      </w:r>
    </w:p>
    <w:p w14:paraId="5A3D5C00">
      <w:pPr>
        <w:spacing w:line="360" w:lineRule="auto"/>
        <w:ind w:firstLine="539" w:firstLineChars="257"/>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修剪包括乔木、花木整形修剪、绿篱与色块的成型修剪和草坪的修剪等。是保证绿化养护面貌的重要手段。</w:t>
      </w:r>
    </w:p>
    <w:p w14:paraId="4A49B737">
      <w:pPr>
        <w:spacing w:line="360" w:lineRule="auto"/>
        <w:ind w:firstLine="539" w:firstLineChars="257"/>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乔木、花木修剪分为重修和轻修，重修一般安排在春初和冬季。其余时间轻修以剥芽、去除病死枝条、维持树形为主。</w:t>
      </w:r>
    </w:p>
    <w:p w14:paraId="606E776F">
      <w:pPr>
        <w:spacing w:line="360" w:lineRule="auto"/>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2.1草坪</w:t>
      </w:r>
    </w:p>
    <w:p w14:paraId="6EF9479C">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（1）修剪高度不超过8cm，夏季和入冬前的最后一次修剪应提高留茬高度4-5cm，增强草坪抗逆性。</w:t>
      </w:r>
    </w:p>
    <w:p w14:paraId="3C487DB0">
      <w:pPr>
        <w:spacing w:line="360" w:lineRule="auto"/>
        <w:ind w:firstLine="480"/>
        <w:rPr>
          <w:rFonts w:hint="eastAsia" w:ascii="宋体" w:hAnsi="宋体" w:eastAsia="宋体" w:cs="宋体"/>
          <w:kern w:val="2"/>
          <w:sz w:val="21"/>
          <w:szCs w:val="21"/>
          <w:highlight w:val="none"/>
        </w:rPr>
      </w:pPr>
      <w:r>
        <w:rPr>
          <w:rFonts w:hint="eastAsia" w:ascii="宋体" w:hAnsi="宋体" w:eastAsia="宋体" w:cs="宋体"/>
          <w:bCs/>
          <w:kern w:val="2"/>
          <w:sz w:val="21"/>
          <w:szCs w:val="21"/>
          <w:highlight w:val="none"/>
        </w:rPr>
        <w:t>（2）修剪次数：根据草坪生长情况，随时修剪。每次剪去的量不超过总长度的三分之一。</w:t>
      </w:r>
    </w:p>
    <w:p w14:paraId="75B6F4F7">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（3）修剪时间应选在早晨或傍晚，避免剪湿草。</w:t>
      </w:r>
    </w:p>
    <w:p w14:paraId="622AB8E6">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（4）所有修剪剩余物随剪随清，保证现场整洁，防止滋生病虫害。</w:t>
      </w:r>
    </w:p>
    <w:p w14:paraId="3093EFA4">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bCs/>
          <w:kern w:val="2"/>
          <w:sz w:val="21"/>
          <w:szCs w:val="21"/>
          <w:highlight w:val="none"/>
        </w:rPr>
        <w:t>（5）麦冬草每1-2月修剪掉长出路牙的部分，冬季梳理进行一次全面的修剪，去除枯黄叶条，采摘种子。</w:t>
      </w:r>
    </w:p>
    <w:p w14:paraId="0552BD23">
      <w:pPr>
        <w:tabs>
          <w:tab w:val="left" w:pos="900"/>
          <w:tab w:val="left" w:pos="1260"/>
        </w:tabs>
        <w:spacing w:line="360" w:lineRule="auto"/>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2.2花木与灌木</w:t>
      </w:r>
    </w:p>
    <w:p w14:paraId="143D241F">
      <w:pPr>
        <w:tabs>
          <w:tab w:val="left" w:pos="900"/>
          <w:tab w:val="left" w:pos="1260"/>
        </w:tabs>
        <w:spacing w:line="360" w:lineRule="auto"/>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2.2.1修剪技术要求</w:t>
      </w:r>
    </w:p>
    <w:p w14:paraId="655338E8">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（1）花木秋冬季修剪要有利于短枝和花芽的形成，遵循“先上后下，先内后外，去弱留强，去老留新”的原则进行修剪。</w:t>
      </w:r>
    </w:p>
    <w:p w14:paraId="3D996750">
      <w:pPr>
        <w:numPr>
          <w:ilvl w:val="0"/>
          <w:numId w:val="15"/>
        </w:numPr>
        <w:tabs>
          <w:tab w:val="left" w:pos="0"/>
          <w:tab w:val="clear" w:pos="980"/>
        </w:tabs>
        <w:spacing w:line="360" w:lineRule="auto"/>
        <w:ind w:left="0" w:firstLine="56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 xml:space="preserve">当年生枝条开花灌木，如：紫薇、木槿、月季、珍珠梅等，休眠期修剪时，为控制树木高度，对于生长健壮枝条应在保留3个~5个芽处短截，促发新枝。1年可数次开花的如月季、珍珠梅、紫薇等，花落后应及时剪去残花，促使再次开花。 </w:t>
      </w:r>
    </w:p>
    <w:p w14:paraId="64704D5B">
      <w:pPr>
        <w:numPr>
          <w:ilvl w:val="0"/>
          <w:numId w:val="15"/>
        </w:numPr>
        <w:tabs>
          <w:tab w:val="left" w:pos="0"/>
          <w:tab w:val="clear" w:pos="980"/>
        </w:tabs>
        <w:spacing w:line="360" w:lineRule="auto"/>
        <w:ind w:left="0" w:firstLine="56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 xml:space="preserve">隔年生枝条开花的灌木，如：碧桃、榆叶梅、连翘等，休眠期适当整形修剪，生长季花落后10天~15天将已开花枝条进行中或重短截，疏剪过密枝，以利来年促生健壮新枝。 </w:t>
      </w:r>
    </w:p>
    <w:p w14:paraId="28D2AA38">
      <w:pPr>
        <w:numPr>
          <w:ilvl w:val="0"/>
          <w:numId w:val="15"/>
        </w:numPr>
        <w:spacing w:line="360" w:lineRule="auto"/>
        <w:ind w:left="0" w:firstLine="56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多年生枝条开花灌木，如：紫荆、贴梗海棠等，应注意培育和保护老枝，剪除干扰树型并影响通风透光的过密枝、弱枝、枯枝或病虫枝。</w:t>
      </w:r>
    </w:p>
    <w:p w14:paraId="368628CF">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（2）灌木内膛小枝应适量疏剪，强壮枝应进行适当短截，下垂细弱枝及地表萌生的地蘖应彻底疏除。</w:t>
      </w:r>
    </w:p>
    <w:p w14:paraId="4E979AEA">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kern w:val="2"/>
          <w:sz w:val="21"/>
          <w:szCs w:val="21"/>
          <w:highlight w:val="none"/>
        </w:rPr>
        <w:t xml:space="preserve"> </w:t>
      </w:r>
      <w:r>
        <w:rPr>
          <w:rFonts w:hint="eastAsia" w:ascii="宋体" w:hAnsi="宋体" w:eastAsia="宋体" w:cs="宋体"/>
          <w:bCs/>
          <w:kern w:val="2"/>
          <w:sz w:val="21"/>
          <w:szCs w:val="21"/>
          <w:highlight w:val="none"/>
        </w:rPr>
        <w:t>（3）栽种多年的丛生灌木应逐年更新衰老枝，疏剪内膛密生枝，培育新枝。栽植多年的有主干的灌木，每年应采取交替回缩主枝控制树冠的剪法，防止树势上强下弱。</w:t>
      </w:r>
    </w:p>
    <w:p w14:paraId="342F3327">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（4）绿篱、色带修剪应使绿篱及色带轮廓清楚，线条整齐，顶面平整，高度一致，侧面上下垂直或上窄下宽。每月整形修剪不少于1次。修剪后残留绿篱面的枝叶应及时清除干净。</w:t>
      </w:r>
    </w:p>
    <w:p w14:paraId="0BE77B0C">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bCs/>
          <w:kern w:val="2"/>
          <w:sz w:val="21"/>
          <w:szCs w:val="21"/>
          <w:highlight w:val="none"/>
        </w:rPr>
        <w:t>（5）发现病、虫枝和枯枝甲类、乙类区域24小时内处理完毕；其他区域3天内处理完毕</w:t>
      </w:r>
      <w:r>
        <w:rPr>
          <w:rFonts w:hint="eastAsia" w:ascii="宋体" w:hAnsi="宋体" w:eastAsia="宋体" w:cs="宋体"/>
          <w:kern w:val="2"/>
          <w:sz w:val="21"/>
          <w:szCs w:val="21"/>
          <w:highlight w:val="none"/>
        </w:rPr>
        <w:t xml:space="preserve">。 </w:t>
      </w:r>
    </w:p>
    <w:p w14:paraId="585B8673">
      <w:pPr>
        <w:spacing w:line="360" w:lineRule="auto"/>
        <w:ind w:firstLine="539" w:firstLineChars="257"/>
        <w:rPr>
          <w:rFonts w:hint="eastAsia" w:ascii="宋体" w:hAnsi="宋体" w:eastAsia="宋体" w:cs="宋体"/>
          <w:bCs/>
          <w:kern w:val="2"/>
          <w:sz w:val="21"/>
          <w:szCs w:val="21"/>
          <w:highlight w:val="none"/>
        </w:rPr>
      </w:pPr>
      <w:r>
        <w:rPr>
          <w:rFonts w:hint="eastAsia" w:ascii="宋体" w:hAnsi="宋体" w:eastAsia="宋体" w:cs="宋体"/>
          <w:kern w:val="2"/>
          <w:sz w:val="21"/>
          <w:szCs w:val="21"/>
          <w:highlight w:val="none"/>
        </w:rPr>
        <w:t>2.2.2</w:t>
      </w:r>
      <w:r>
        <w:rPr>
          <w:rFonts w:hint="eastAsia" w:ascii="宋体" w:hAnsi="宋体" w:eastAsia="宋体" w:cs="宋体"/>
          <w:bCs/>
          <w:kern w:val="2"/>
          <w:sz w:val="21"/>
          <w:szCs w:val="21"/>
          <w:highlight w:val="none"/>
        </w:rPr>
        <w:t xml:space="preserve"> </w:t>
      </w:r>
      <w:r>
        <w:rPr>
          <w:rFonts w:hint="eastAsia" w:ascii="宋体" w:hAnsi="宋体" w:eastAsia="宋体" w:cs="宋体"/>
          <w:kern w:val="2"/>
          <w:sz w:val="21"/>
          <w:szCs w:val="21"/>
          <w:highlight w:val="none"/>
        </w:rPr>
        <w:t>花木</w:t>
      </w:r>
      <w:r>
        <w:rPr>
          <w:rFonts w:hint="eastAsia" w:ascii="宋体" w:hAnsi="宋体" w:eastAsia="宋体" w:cs="宋体"/>
          <w:bCs/>
          <w:kern w:val="2"/>
          <w:sz w:val="21"/>
          <w:szCs w:val="21"/>
          <w:highlight w:val="none"/>
        </w:rPr>
        <w:t>甲类、乙类</w:t>
      </w:r>
      <w:r>
        <w:rPr>
          <w:rFonts w:hint="eastAsia" w:ascii="宋体" w:hAnsi="宋体" w:eastAsia="宋体" w:cs="宋体"/>
          <w:kern w:val="2"/>
          <w:sz w:val="21"/>
          <w:szCs w:val="21"/>
          <w:highlight w:val="none"/>
        </w:rPr>
        <w:t>养护区域按照上述要求修剪，其他区域每年只需在冬季重修一次，其余时间以维持树形为主。</w:t>
      </w:r>
    </w:p>
    <w:p w14:paraId="74BCD0D9">
      <w:pPr>
        <w:tabs>
          <w:tab w:val="left" w:pos="900"/>
          <w:tab w:val="left" w:pos="1260"/>
        </w:tabs>
        <w:spacing w:line="360" w:lineRule="auto"/>
        <w:rPr>
          <w:rFonts w:hint="eastAsia" w:ascii="宋体" w:hAnsi="宋体" w:eastAsia="宋体" w:cs="宋体"/>
          <w:bCs/>
          <w:color w:val="000000"/>
          <w:kern w:val="2"/>
          <w:sz w:val="21"/>
          <w:szCs w:val="21"/>
          <w:highlight w:val="none"/>
        </w:rPr>
      </w:pPr>
      <w:r>
        <w:rPr>
          <w:rFonts w:hint="eastAsia" w:ascii="宋体" w:hAnsi="宋体" w:eastAsia="宋体" w:cs="宋体"/>
          <w:bCs/>
          <w:color w:val="000000"/>
          <w:kern w:val="2"/>
          <w:sz w:val="21"/>
          <w:szCs w:val="21"/>
          <w:highlight w:val="none"/>
        </w:rPr>
        <w:t>2.3乔木</w:t>
      </w:r>
    </w:p>
    <w:p w14:paraId="38139C57">
      <w:pPr>
        <w:tabs>
          <w:tab w:val="left" w:pos="900"/>
          <w:tab w:val="left" w:pos="1260"/>
        </w:tabs>
        <w:spacing w:line="360" w:lineRule="auto"/>
        <w:rPr>
          <w:rFonts w:hint="eastAsia" w:ascii="宋体" w:hAnsi="宋体" w:eastAsia="宋体" w:cs="宋体"/>
          <w:bCs/>
          <w:color w:val="000000"/>
          <w:kern w:val="2"/>
          <w:sz w:val="21"/>
          <w:szCs w:val="21"/>
          <w:highlight w:val="none"/>
        </w:rPr>
      </w:pPr>
      <w:r>
        <w:rPr>
          <w:rFonts w:hint="eastAsia" w:ascii="宋体" w:hAnsi="宋体" w:eastAsia="宋体" w:cs="宋体"/>
          <w:bCs/>
          <w:color w:val="000000"/>
          <w:kern w:val="2"/>
          <w:sz w:val="21"/>
          <w:szCs w:val="21"/>
          <w:highlight w:val="none"/>
        </w:rPr>
        <w:t>2.3.1修剪技术要求</w:t>
      </w:r>
    </w:p>
    <w:p w14:paraId="10EA7D54">
      <w:pPr>
        <w:tabs>
          <w:tab w:val="left" w:pos="900"/>
          <w:tab w:val="left" w:pos="1260"/>
        </w:tabs>
        <w:spacing w:line="360" w:lineRule="auto"/>
        <w:ind w:firstLine="539" w:firstLineChars="257"/>
        <w:rPr>
          <w:rFonts w:hint="eastAsia" w:ascii="宋体" w:hAnsi="宋体" w:eastAsia="宋体" w:cs="宋体"/>
          <w:bCs/>
          <w:color w:val="000000"/>
          <w:kern w:val="2"/>
          <w:sz w:val="21"/>
          <w:szCs w:val="21"/>
          <w:highlight w:val="none"/>
        </w:rPr>
      </w:pPr>
      <w:r>
        <w:rPr>
          <w:rFonts w:hint="eastAsia" w:ascii="宋体" w:hAnsi="宋体" w:eastAsia="宋体" w:cs="宋体"/>
          <w:bCs/>
          <w:color w:val="000000"/>
          <w:kern w:val="2"/>
          <w:sz w:val="21"/>
          <w:szCs w:val="21"/>
          <w:highlight w:val="none"/>
        </w:rPr>
        <w:t>乔木修剪应根据树木本身生长习性与体现园林景观效果的要求进行。行道树主要分成杯状形（如香樟、悬铃木、栾树、榉树等无明显中央领导枝的）和中央领导干形（如银杏、水杉、雪松等）；孤值景观树以自然式整形为主。</w:t>
      </w:r>
    </w:p>
    <w:p w14:paraId="239B9189">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 xml:space="preserve">（1）凡主轴明显的树种，修剪时应注意保护中央领导枝，使其向上直立生长。原中央领导枝受损、折断，应利用顶端侧枝重新培养新的领导枝。 </w:t>
      </w:r>
    </w:p>
    <w:p w14:paraId="0BAB1B40">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 xml:space="preserve">（2）应逐年调整树干与树冠的合理比例。同一树龄和品种的林地，分枝点高度应基本一致。位于林地边缘的树木分枝点可稍低于林内树木。 </w:t>
      </w:r>
    </w:p>
    <w:p w14:paraId="206C8DAA">
      <w:pPr>
        <w:spacing w:line="360" w:lineRule="auto"/>
        <w:ind w:firstLine="525" w:firstLineChars="25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 xml:space="preserve">（3）针叶树应剪除基部垂地枝条，随树木生长可根据需要逐步提高分枝点，并保护主尖直立向上生长。 </w:t>
      </w:r>
    </w:p>
    <w:p w14:paraId="45F10FF2">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（4）银杏修剪只能疏枝，不准短截。对轮生枝可分阶段疏除。</w:t>
      </w:r>
    </w:p>
    <w:p w14:paraId="11F1669F">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（5）各类乔木生长季节需及时剥芽，修剪内膛枝、徒长枝、病虫枝等。乔木基部至一级分枝点内无萌蘖枝。</w:t>
      </w:r>
    </w:p>
    <w:p w14:paraId="0599C188">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（6）修剪锯口应平齐不劈不裂，减少大锯口，较大的锯口应涂防腐剂。</w:t>
      </w:r>
    </w:p>
    <w:p w14:paraId="1CB4F59E">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（7）所有乔木冬季修剪在12月底完成，春季修剪在植物生长开始前完成；修剪枝条等物及时清理。</w:t>
      </w:r>
    </w:p>
    <w:p w14:paraId="466E5D8F">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bCs/>
          <w:kern w:val="2"/>
          <w:sz w:val="21"/>
          <w:szCs w:val="21"/>
          <w:highlight w:val="none"/>
        </w:rPr>
        <w:t>（8）发现病、虫枝和枯枝甲类、乙类区域24小时内处理完毕；其他区域3天内处理完毕</w:t>
      </w:r>
      <w:r>
        <w:rPr>
          <w:rFonts w:hint="eastAsia" w:ascii="宋体" w:hAnsi="宋体" w:eastAsia="宋体" w:cs="宋体"/>
          <w:kern w:val="2"/>
          <w:sz w:val="21"/>
          <w:szCs w:val="21"/>
          <w:highlight w:val="none"/>
        </w:rPr>
        <w:t>。</w:t>
      </w:r>
    </w:p>
    <w:p w14:paraId="3842DB22">
      <w:pPr>
        <w:spacing w:line="360" w:lineRule="auto"/>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 xml:space="preserve">2.4 藤木 </w:t>
      </w:r>
    </w:p>
    <w:p w14:paraId="6E717DC6">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 xml:space="preserve">（1）吸附类藤木，应在生长季剪去未能吸附墙体而下垂的枝条，未完全覆盖的植物应短截空隙周围枝条，以便发生副梢，填补空缺。 </w:t>
      </w:r>
    </w:p>
    <w:p w14:paraId="1FB0AB28">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 xml:space="preserve">（2）钩刺类藤木，可按灌木修剪方法疏枝；生长到一定程度，树势衰弱时，应进行回缩修剪，强壮树势。 </w:t>
      </w:r>
    </w:p>
    <w:p w14:paraId="2C03B13C">
      <w:pPr>
        <w:spacing w:line="360" w:lineRule="auto"/>
        <w:ind w:firstLine="403" w:firstLineChars="192"/>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 xml:space="preserve">（3）生长于棚架的藤木，落叶后应疏剪过密枝条，清除枯死枝，使枝条均匀分布架面。 </w:t>
      </w:r>
    </w:p>
    <w:p w14:paraId="13E8B939">
      <w:pPr>
        <w:spacing w:line="360" w:lineRule="auto"/>
        <w:ind w:firstLine="268" w:firstLineChars="128"/>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 xml:space="preserve"> （4）成年和老年藤木应常疏枝，并适当进行回缩修剪。</w:t>
      </w:r>
    </w:p>
    <w:p w14:paraId="4B52B430">
      <w:pPr>
        <w:spacing w:line="360" w:lineRule="auto"/>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2.5 草花（</w:t>
      </w:r>
      <w:r>
        <w:rPr>
          <w:rFonts w:hint="eastAsia" w:ascii="宋体" w:hAnsi="宋体" w:eastAsia="宋体" w:cs="宋体"/>
          <w:kern w:val="2"/>
          <w:sz w:val="21"/>
          <w:szCs w:val="21"/>
          <w:highlight w:val="none"/>
        </w:rPr>
        <w:t>盆栽草花及地栽草花（含宿根花卉）</w:t>
      </w:r>
      <w:r>
        <w:rPr>
          <w:rFonts w:hint="eastAsia" w:ascii="宋体" w:hAnsi="宋体" w:eastAsia="宋体" w:cs="宋体"/>
          <w:bCs/>
          <w:kern w:val="2"/>
          <w:sz w:val="21"/>
          <w:szCs w:val="21"/>
          <w:highlight w:val="none"/>
        </w:rPr>
        <w:t>）</w:t>
      </w:r>
    </w:p>
    <w:p w14:paraId="227DAFCE">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bCs/>
          <w:kern w:val="2"/>
          <w:sz w:val="21"/>
          <w:szCs w:val="21"/>
          <w:highlight w:val="none"/>
        </w:rPr>
        <w:t xml:space="preserve">（1）宿根花卉萌芽前应剪除上年残留枯枝、枯叶。 </w:t>
      </w:r>
    </w:p>
    <w:p w14:paraId="0BA4A51D">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（2）宿根花卉萌芽期应特别注意保护新生嫩芽，同时及时剪除多余萌蘖。</w:t>
      </w:r>
    </w:p>
    <w:p w14:paraId="1E9045F6">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（3）宿根花卉花谢后应及时去除残花、残枝和枯叶 。</w:t>
      </w:r>
    </w:p>
    <w:p w14:paraId="456A864E">
      <w:pPr>
        <w:spacing w:line="360" w:lineRule="auto"/>
        <w:rPr>
          <w:rFonts w:hint="eastAsia" w:ascii="宋体" w:hAnsi="宋体" w:eastAsia="宋体" w:cs="宋体"/>
          <w:b/>
          <w:kern w:val="2"/>
          <w:sz w:val="21"/>
          <w:szCs w:val="21"/>
          <w:highlight w:val="none"/>
        </w:rPr>
      </w:pPr>
      <w:r>
        <w:rPr>
          <w:rFonts w:hint="eastAsia" w:ascii="宋体" w:hAnsi="宋体" w:eastAsia="宋体" w:cs="宋体"/>
          <w:b/>
          <w:kern w:val="2"/>
          <w:sz w:val="21"/>
          <w:szCs w:val="21"/>
          <w:highlight w:val="none"/>
        </w:rPr>
        <w:t>3. 绿化浇水、排水</w:t>
      </w:r>
    </w:p>
    <w:p w14:paraId="2E349B47">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（1）根据植物的需求及不同环境条件、季节差异、植物生长情况及时浇水，夏季抗旱时能确保车辆、水泵、人员的安排和使用。冬季中午浇水，夏季早晚浇水。</w:t>
      </w:r>
    </w:p>
    <w:p w14:paraId="20538699">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2）用水车浇灌树木时，应接软管，进行缓流浇灌，保证一次浇足浇透（每次浇水时浇湿土层在10cm以上），严禁用高压水流冲毁树堰。水车及水泵浇水不得影响交通，并注意做好作业队的安全防护工作，浇水如造成路面污染，同时安排人员清扫冲洗干净。</w:t>
      </w:r>
    </w:p>
    <w:p w14:paraId="19E714C2">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（3）在雨季应采用开沟、埋管、打孔等排水措施及时对绿地和树池排涝，防止植物因涝至死。绿地和树池内积水不得超过24小时；宿根花卉种植地积水不得超过12小时。</w:t>
      </w:r>
    </w:p>
    <w:p w14:paraId="5FAE308A">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（4）建设单位为每个标段提供一个用水口，该用水口水费由建设单位承担，取水、装水、洒水等费用由养护实施单位承担。</w:t>
      </w:r>
    </w:p>
    <w:p w14:paraId="53B11865">
      <w:pPr>
        <w:spacing w:line="360" w:lineRule="auto"/>
        <w:rPr>
          <w:rFonts w:hint="eastAsia" w:ascii="宋体" w:hAnsi="宋体" w:eastAsia="宋体" w:cs="宋体"/>
          <w:b/>
          <w:bCs/>
          <w:kern w:val="2"/>
          <w:sz w:val="21"/>
          <w:szCs w:val="21"/>
          <w:highlight w:val="none"/>
        </w:rPr>
      </w:pPr>
      <w:r>
        <w:rPr>
          <w:rFonts w:hint="eastAsia" w:ascii="宋体" w:hAnsi="宋体" w:eastAsia="宋体" w:cs="宋体"/>
          <w:b/>
          <w:kern w:val="2"/>
          <w:sz w:val="21"/>
          <w:szCs w:val="21"/>
          <w:highlight w:val="none"/>
        </w:rPr>
        <w:t>4．</w:t>
      </w:r>
      <w:r>
        <w:rPr>
          <w:rFonts w:hint="eastAsia" w:ascii="宋体" w:hAnsi="宋体" w:eastAsia="宋体" w:cs="宋体"/>
          <w:b/>
          <w:bCs/>
          <w:kern w:val="2"/>
          <w:sz w:val="21"/>
          <w:szCs w:val="21"/>
          <w:highlight w:val="none"/>
        </w:rPr>
        <w:t>绿化施肥</w:t>
      </w:r>
    </w:p>
    <w:p w14:paraId="604D6A71">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4.1草坪，花、灌木，藤本长藤，草花</w:t>
      </w:r>
    </w:p>
    <w:p w14:paraId="04C1545A">
      <w:pPr>
        <w:spacing w:line="360" w:lineRule="auto"/>
        <w:ind w:firstLine="403" w:firstLineChars="192"/>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（1）每年冬季12月30日前，施用有机肥料，如堆肥或泥炭土，每亩施用有机肥15公斤。</w:t>
      </w:r>
    </w:p>
    <w:p w14:paraId="6150DBAD">
      <w:pPr>
        <w:spacing w:line="360" w:lineRule="auto"/>
        <w:ind w:firstLine="403" w:firstLineChars="192"/>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（2）春季4-5月份施用返青复合肥，每亩15公斤复合肥均匀施下。然后浇足量水，让肥料充分溶解渗透。</w:t>
      </w:r>
    </w:p>
    <w:p w14:paraId="56B08AD3">
      <w:pPr>
        <w:spacing w:line="360" w:lineRule="auto"/>
        <w:ind w:firstLine="403" w:firstLineChars="192"/>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（3）花灌木、草花在花期前后，需根据甲方要求适当施用磷、钾肥。</w:t>
      </w:r>
    </w:p>
    <w:p w14:paraId="22FE22D3">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4.2乔木</w:t>
      </w:r>
    </w:p>
    <w:p w14:paraId="456D21C5">
      <w:pPr>
        <w:spacing w:line="360" w:lineRule="auto"/>
        <w:ind w:firstLine="403" w:firstLineChars="192"/>
        <w:rPr>
          <w:rFonts w:hint="eastAsia" w:ascii="宋体" w:hAnsi="宋体" w:eastAsia="宋体" w:cs="宋体"/>
          <w:bCs/>
          <w:kern w:val="2"/>
          <w:sz w:val="21"/>
          <w:szCs w:val="21"/>
          <w:highlight w:val="none"/>
        </w:rPr>
      </w:pPr>
      <w:r>
        <w:rPr>
          <w:rFonts w:hint="eastAsia" w:ascii="宋体" w:hAnsi="宋体" w:eastAsia="宋体" w:cs="宋体"/>
          <w:kern w:val="2"/>
          <w:sz w:val="21"/>
          <w:szCs w:val="21"/>
          <w:highlight w:val="none"/>
        </w:rPr>
        <w:t>（1）</w:t>
      </w:r>
      <w:r>
        <w:rPr>
          <w:rFonts w:hint="eastAsia" w:ascii="宋体" w:hAnsi="宋体" w:eastAsia="宋体" w:cs="宋体"/>
          <w:bCs/>
          <w:kern w:val="2"/>
          <w:sz w:val="21"/>
          <w:szCs w:val="21"/>
          <w:highlight w:val="none"/>
        </w:rPr>
        <w:t>施肥应根据不同的树种、胸径、生长势和土壤理化性质而定。早春和深秋土壤冻结前给大树施有机肥，</w:t>
      </w:r>
      <w:r>
        <w:rPr>
          <w:rFonts w:hint="eastAsia" w:ascii="宋体" w:hAnsi="宋体" w:eastAsia="宋体" w:cs="宋体"/>
          <w:kern w:val="2"/>
          <w:sz w:val="21"/>
          <w:szCs w:val="21"/>
          <w:highlight w:val="none"/>
        </w:rPr>
        <w:t>，如堆放或泥炭土，</w:t>
      </w:r>
      <w:r>
        <w:rPr>
          <w:rFonts w:hint="eastAsia" w:ascii="宋体" w:hAnsi="宋体" w:eastAsia="宋体" w:cs="宋体"/>
          <w:bCs/>
          <w:kern w:val="2"/>
          <w:sz w:val="21"/>
          <w:szCs w:val="21"/>
          <w:highlight w:val="none"/>
        </w:rPr>
        <w:t>胸径（干径）&lt;10cm时，用量不少于1.5kg/棵；胸径（干径）&gt;10cm时，用量不少于为2kg/棵 (采用穴施或环施法)。</w:t>
      </w:r>
    </w:p>
    <w:p w14:paraId="3A0747C3">
      <w:pPr>
        <w:spacing w:line="360" w:lineRule="auto"/>
        <w:ind w:firstLine="403" w:firstLineChars="192"/>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（2）春季4-5月份施用返青复合肥，</w:t>
      </w:r>
      <w:r>
        <w:rPr>
          <w:rFonts w:hint="eastAsia" w:ascii="宋体" w:hAnsi="宋体" w:eastAsia="宋体" w:cs="宋体"/>
          <w:bCs/>
          <w:kern w:val="2"/>
          <w:sz w:val="21"/>
          <w:szCs w:val="21"/>
          <w:highlight w:val="none"/>
        </w:rPr>
        <w:t>胸径（干径）&lt;10cm时，用量不少于1.5kg/棵；胸径（干径）&gt;10cm时，用量不少于为2kg/棵</w:t>
      </w:r>
      <w:r>
        <w:rPr>
          <w:rFonts w:hint="eastAsia" w:ascii="宋体" w:hAnsi="宋体" w:eastAsia="宋体" w:cs="宋体"/>
          <w:kern w:val="2"/>
          <w:sz w:val="21"/>
          <w:szCs w:val="21"/>
          <w:highlight w:val="none"/>
        </w:rPr>
        <w:t>。复合肥随灌水或降雨环施，保证肥料充分溶解渗入树木根系。</w:t>
      </w:r>
    </w:p>
    <w:p w14:paraId="1DA6C49A">
      <w:pPr>
        <w:spacing w:line="360" w:lineRule="auto"/>
        <w:ind w:left="99" w:leftChars="47"/>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4.3其他事项</w:t>
      </w:r>
    </w:p>
    <w:p w14:paraId="2C131E07">
      <w:pPr>
        <w:spacing w:line="360" w:lineRule="auto"/>
        <w:ind w:firstLine="420" w:firstLineChars="200"/>
        <w:rPr>
          <w:rFonts w:hint="eastAsia" w:ascii="宋体" w:hAnsi="宋体" w:eastAsia="宋体" w:cs="宋体"/>
          <w:bCs/>
          <w:color w:val="000000"/>
          <w:kern w:val="2"/>
          <w:sz w:val="21"/>
          <w:szCs w:val="21"/>
          <w:highlight w:val="none"/>
        </w:rPr>
      </w:pPr>
      <w:r>
        <w:rPr>
          <w:rFonts w:hint="eastAsia" w:ascii="宋体" w:hAnsi="宋体" w:eastAsia="宋体" w:cs="宋体"/>
          <w:bCs/>
          <w:color w:val="000000"/>
          <w:kern w:val="2"/>
          <w:sz w:val="21"/>
          <w:szCs w:val="21"/>
          <w:highlight w:val="none"/>
        </w:rPr>
        <w:t>施肥肥料为甲供，具体操作办法是：由养护作业单位上报需施肥的地段、面积、量等，建设单位核拨。施肥应按照建设单位要求记录、留影像资料备查。</w:t>
      </w:r>
    </w:p>
    <w:p w14:paraId="7FFBD691">
      <w:pPr>
        <w:spacing w:line="360" w:lineRule="auto"/>
        <w:rPr>
          <w:rFonts w:hint="eastAsia" w:ascii="宋体" w:hAnsi="宋体" w:eastAsia="宋体" w:cs="宋体"/>
          <w:b/>
          <w:bCs/>
          <w:kern w:val="2"/>
          <w:sz w:val="21"/>
          <w:szCs w:val="21"/>
          <w:highlight w:val="none"/>
        </w:rPr>
      </w:pPr>
      <w:r>
        <w:rPr>
          <w:rFonts w:hint="eastAsia" w:ascii="宋体" w:hAnsi="宋体" w:eastAsia="宋体" w:cs="宋体"/>
          <w:b/>
          <w:bCs/>
          <w:kern w:val="2"/>
          <w:sz w:val="21"/>
          <w:szCs w:val="21"/>
          <w:highlight w:val="none"/>
        </w:rPr>
        <w:t>5.绿化松土、除草</w:t>
      </w:r>
    </w:p>
    <w:p w14:paraId="4C956BB0">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5.1草坪</w:t>
      </w:r>
    </w:p>
    <w:p w14:paraId="2D770C67">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bCs/>
          <w:kern w:val="2"/>
          <w:sz w:val="21"/>
          <w:szCs w:val="21"/>
          <w:highlight w:val="none"/>
        </w:rPr>
        <w:t>（1）草坪杂草要本着“除早、除小、除了”原则，及时连根清除，严禁出现恶性杂草（如一枝黄花等）</w:t>
      </w:r>
      <w:r>
        <w:rPr>
          <w:rFonts w:hint="eastAsia" w:ascii="宋体" w:hAnsi="宋体" w:eastAsia="宋体" w:cs="宋体"/>
          <w:kern w:val="2"/>
          <w:sz w:val="21"/>
          <w:szCs w:val="21"/>
          <w:highlight w:val="none"/>
        </w:rPr>
        <w:t>。</w:t>
      </w:r>
    </w:p>
    <w:p w14:paraId="2E8DED4C">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（2）疏松土壤，土壤板结时应打孔松土输氧。冷季型草坪（高羊茅、黑麦草、早熟禾等）每年冬春两季打孔一次，暖季型草坪（马尼拉、狗牙根等）每二年打孔一次，打孔深度符合甲方要求。</w:t>
      </w:r>
    </w:p>
    <w:p w14:paraId="2B070407">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（3）枯草及落叶层厚度在1.5cm以上时，易产生病虫害，影响树下草坪生长，水不易渗入土壤，应及时清除。</w:t>
      </w:r>
    </w:p>
    <w:p w14:paraId="0FFC17A9">
      <w:pPr>
        <w:tabs>
          <w:tab w:val="left" w:pos="540"/>
          <w:tab w:val="left" w:pos="900"/>
          <w:tab w:val="left" w:pos="1260"/>
        </w:tabs>
        <w:spacing w:line="360" w:lineRule="auto"/>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5.2 花、灌木，藤本长藤，草花</w:t>
      </w:r>
    </w:p>
    <w:p w14:paraId="6834DF7E">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（1）绿篱、色块、草花、藤本植物中无明显杂草及其他类植物，保持纯净。</w:t>
      </w:r>
    </w:p>
    <w:p w14:paraId="2F4B0021">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（2）松土结合除草、施肥进行，一年多次。夏季松土宜浅，秋后松土宜深些。</w:t>
      </w:r>
    </w:p>
    <w:p w14:paraId="7223BB31">
      <w:pPr>
        <w:tabs>
          <w:tab w:val="left" w:pos="540"/>
          <w:tab w:val="left" w:pos="900"/>
          <w:tab w:val="left" w:pos="1260"/>
        </w:tabs>
        <w:spacing w:line="360" w:lineRule="auto"/>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5.3 乔木</w:t>
      </w:r>
    </w:p>
    <w:p w14:paraId="03722381">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（1）以主干为中心1米直径的树盘内重点松土和除草，保持树穴内无明显杂草。</w:t>
      </w:r>
    </w:p>
    <w:p w14:paraId="3129AD57">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（2）种植在草坪内的树木</w:t>
      </w:r>
      <w:r>
        <w:rPr>
          <w:rFonts w:hint="eastAsia" w:ascii="宋体" w:hAnsi="宋体" w:eastAsia="宋体" w:cs="宋体"/>
          <w:kern w:val="2"/>
          <w:sz w:val="21"/>
          <w:szCs w:val="21"/>
          <w:highlight w:val="none"/>
        </w:rPr>
        <w:t>每2个月</w:t>
      </w:r>
      <w:r>
        <w:rPr>
          <w:rFonts w:hint="eastAsia" w:ascii="宋体" w:hAnsi="宋体" w:eastAsia="宋体" w:cs="宋体"/>
          <w:bCs/>
          <w:kern w:val="2"/>
          <w:sz w:val="21"/>
          <w:szCs w:val="21"/>
          <w:highlight w:val="none"/>
        </w:rPr>
        <w:t>在树穴周围对草坪切边</w:t>
      </w:r>
      <w:r>
        <w:rPr>
          <w:rFonts w:hint="eastAsia" w:ascii="宋体" w:hAnsi="宋体" w:eastAsia="宋体" w:cs="宋体"/>
          <w:kern w:val="2"/>
          <w:sz w:val="21"/>
          <w:szCs w:val="21"/>
          <w:highlight w:val="none"/>
        </w:rPr>
        <w:t>切沟一次，保证树穴界线清晰，线条流畅</w:t>
      </w:r>
      <w:r>
        <w:rPr>
          <w:rFonts w:hint="eastAsia" w:ascii="宋体" w:hAnsi="宋体" w:eastAsia="宋体" w:cs="宋体"/>
          <w:bCs/>
          <w:kern w:val="2"/>
          <w:sz w:val="21"/>
          <w:szCs w:val="21"/>
          <w:highlight w:val="none"/>
        </w:rPr>
        <w:t>。</w:t>
      </w:r>
    </w:p>
    <w:p w14:paraId="760DA5FD">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（3）松土一般在5厘米以上，浅根性乔木松土宜浅，深根性乔木松土宜深。</w:t>
      </w:r>
    </w:p>
    <w:p w14:paraId="050426C4">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（4）所有区域的行道树和孤值景观树需松土，一级养护区域内林带乔木需松土。</w:t>
      </w:r>
    </w:p>
    <w:p w14:paraId="5C1D8822">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（5）以下情况乔木不需松土</w:t>
      </w:r>
    </w:p>
    <w:p w14:paraId="3B68B5F2">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a、林带树行列间距2m以内的乔木；</w:t>
      </w:r>
    </w:p>
    <w:p w14:paraId="22EB1B98">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b、周围密植灌木的乔木；</w:t>
      </w:r>
    </w:p>
    <w:p w14:paraId="352BAACC">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c、行道树池内有填充物无法松土的乔木。</w:t>
      </w:r>
    </w:p>
    <w:p w14:paraId="7966245D">
      <w:pPr>
        <w:tabs>
          <w:tab w:val="left" w:pos="540"/>
          <w:tab w:val="left" w:pos="900"/>
          <w:tab w:val="left" w:pos="1260"/>
        </w:tabs>
        <w:spacing w:line="360" w:lineRule="auto"/>
        <w:rPr>
          <w:rFonts w:hint="eastAsia" w:ascii="宋体" w:hAnsi="宋体" w:eastAsia="宋体" w:cs="宋体"/>
          <w:b/>
          <w:kern w:val="2"/>
          <w:sz w:val="21"/>
          <w:szCs w:val="21"/>
          <w:highlight w:val="none"/>
        </w:rPr>
      </w:pPr>
      <w:r>
        <w:rPr>
          <w:rFonts w:hint="eastAsia" w:ascii="宋体" w:hAnsi="宋体" w:eastAsia="宋体" w:cs="宋体"/>
          <w:b/>
          <w:kern w:val="2"/>
          <w:sz w:val="21"/>
          <w:szCs w:val="21"/>
          <w:highlight w:val="none"/>
        </w:rPr>
        <w:t>6. 病虫害防治</w:t>
      </w:r>
    </w:p>
    <w:p w14:paraId="412EA4E0">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1）做好夏季病虫害和冬季越冬病虫害的预防和防治工作，苗木施药品种及防治时间、次数保证按照甲方的要求，在规定时间内及时完成；其中高羊茅草坪在6、7、8、9四个月内的病害、虫害确保每月至少各防治2次，共计8次。苗木在养护期内发现病虫害在2天内治理完毕，病虫害控制在以不影响观赏效果的范围之内，其中食叶害虫危害的叶片，每株不超过10%，刺吸性害虫危害的叶片，每株不超过10%，无蛀干性害虫的活虫、活卵。</w:t>
      </w:r>
    </w:p>
    <w:p w14:paraId="5B21C652">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（2）养护单位中标后，必须全部使用清单指定的农药，不使用国家或本地区禁止使用的农药和广谱性高毒杀虫剂。</w:t>
      </w:r>
    </w:p>
    <w:p w14:paraId="15708210">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3）喷药应成雾状，做到由内向外、由上向下、叶面叶背喷药均匀，不留空白。喷药应在无风的晴天进行，阴雨或高温炎热的中午不宜喷药。喷药时要注意行人安全、避开人流高峰时段，喷药范围内有食品、水果、鱼池等，要待移出或遮盖后方能进行。喷药后要立即清洗药械，不准乱倒残液。</w:t>
      </w:r>
    </w:p>
    <w:p w14:paraId="3EA93432">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（4）凡进行病虫害防治，均必须建立防治技术档案，以利于总结经验、改进和提高防治效果、进行技术考核等。</w:t>
      </w:r>
    </w:p>
    <w:p w14:paraId="0983F28C">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（5）档案的记载以防治对象为单位，每次防治工作均应作记录，其内容主要为：防治时间、天气情况、防治对象、为害植物、防治地点、防治方法、使用药剂名称及浓度、使用工具、防治效果、防治人员等。</w:t>
      </w:r>
    </w:p>
    <w:p w14:paraId="55400707">
      <w:pPr>
        <w:spacing w:line="360" w:lineRule="auto"/>
        <w:rPr>
          <w:rFonts w:hint="eastAsia" w:ascii="宋体" w:hAnsi="宋体" w:eastAsia="宋体" w:cs="宋体"/>
          <w:sz w:val="21"/>
          <w:szCs w:val="21"/>
          <w:highlight w:val="none"/>
        </w:rPr>
        <w:sectPr>
          <w:pgSz w:w="11907" w:h="16840"/>
          <w:pgMar w:top="1418" w:right="1134" w:bottom="1418" w:left="1701" w:header="851" w:footer="851" w:gutter="0"/>
          <w:cols w:space="720" w:num="1"/>
          <w:docGrid w:linePitch="462" w:charSpace="0"/>
        </w:sectPr>
      </w:pPr>
    </w:p>
    <w:p w14:paraId="7143E9D2">
      <w:pPr>
        <w:spacing w:line="360" w:lineRule="auto"/>
        <w:ind w:firstLine="422" w:firstLineChars="200"/>
        <w:jc w:val="center"/>
        <w:rPr>
          <w:rFonts w:hint="eastAsia" w:ascii="宋体" w:hAnsi="宋体" w:eastAsia="宋体" w:cs="宋体"/>
          <w:b/>
          <w:kern w:val="2"/>
          <w:sz w:val="21"/>
          <w:szCs w:val="21"/>
          <w:highlight w:val="none"/>
        </w:rPr>
      </w:pPr>
      <w:r>
        <w:rPr>
          <w:rFonts w:hint="eastAsia" w:ascii="宋体" w:hAnsi="宋体" w:eastAsia="宋体" w:cs="宋体"/>
          <w:b/>
          <w:kern w:val="2"/>
          <w:sz w:val="21"/>
          <w:szCs w:val="21"/>
          <w:highlight w:val="none"/>
        </w:rPr>
        <w:t>朱林镇绿化养护农药使用清单</w:t>
      </w:r>
    </w:p>
    <w:tbl>
      <w:tblPr>
        <w:tblStyle w:val="30"/>
        <w:tblW w:w="92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4"/>
        <w:gridCol w:w="5580"/>
      </w:tblGrid>
      <w:tr w14:paraId="7DFCC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3654" w:type="dxa"/>
            <w:noWrap w:val="0"/>
            <w:vAlign w:val="center"/>
          </w:tcPr>
          <w:p w14:paraId="13B2640D">
            <w:pPr>
              <w:spacing w:line="360" w:lineRule="auto"/>
              <w:ind w:firstLine="422" w:firstLineChars="200"/>
              <w:rPr>
                <w:rFonts w:hint="eastAsia" w:ascii="宋体" w:hAnsi="宋体" w:eastAsia="宋体" w:cs="宋体"/>
                <w:b/>
                <w:kern w:val="2"/>
                <w:sz w:val="21"/>
                <w:szCs w:val="21"/>
                <w:highlight w:val="none"/>
              </w:rPr>
            </w:pPr>
            <w:r>
              <w:rPr>
                <w:rFonts w:hint="eastAsia" w:ascii="宋体" w:hAnsi="宋体" w:eastAsia="宋体" w:cs="宋体"/>
                <w:b/>
                <w:kern w:val="2"/>
                <w:sz w:val="21"/>
                <w:szCs w:val="21"/>
                <w:highlight w:val="none"/>
              </w:rPr>
              <w:t>药剂品种</w:t>
            </w:r>
          </w:p>
        </w:tc>
        <w:tc>
          <w:tcPr>
            <w:tcW w:w="5580" w:type="dxa"/>
            <w:noWrap w:val="0"/>
            <w:vAlign w:val="center"/>
          </w:tcPr>
          <w:p w14:paraId="65F2F21D">
            <w:pPr>
              <w:spacing w:line="360" w:lineRule="auto"/>
              <w:ind w:firstLine="422" w:firstLineChars="200"/>
              <w:rPr>
                <w:rFonts w:hint="eastAsia" w:ascii="宋体" w:hAnsi="宋体" w:eastAsia="宋体" w:cs="宋体"/>
                <w:b/>
                <w:kern w:val="2"/>
                <w:sz w:val="21"/>
                <w:szCs w:val="21"/>
                <w:highlight w:val="none"/>
              </w:rPr>
            </w:pPr>
            <w:r>
              <w:rPr>
                <w:rFonts w:hint="eastAsia" w:ascii="宋体" w:hAnsi="宋体" w:eastAsia="宋体" w:cs="宋体"/>
                <w:b/>
                <w:kern w:val="2"/>
                <w:sz w:val="21"/>
                <w:szCs w:val="21"/>
                <w:highlight w:val="none"/>
              </w:rPr>
              <w:t>防治对象</w:t>
            </w:r>
          </w:p>
        </w:tc>
      </w:tr>
      <w:tr w14:paraId="3ECE5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3654" w:type="dxa"/>
            <w:noWrap w:val="0"/>
            <w:vAlign w:val="center"/>
          </w:tcPr>
          <w:p w14:paraId="1A9A3522">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灭幼脲Ⅲ号</w:t>
            </w:r>
          </w:p>
        </w:tc>
        <w:tc>
          <w:tcPr>
            <w:tcW w:w="5580" w:type="dxa"/>
            <w:noWrap w:val="0"/>
            <w:vAlign w:val="center"/>
          </w:tcPr>
          <w:p w14:paraId="3E55F827">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鳞翅目类（地老虎、重阳木斑蛾，刺蛾等）</w:t>
            </w:r>
          </w:p>
        </w:tc>
      </w:tr>
      <w:tr w14:paraId="54010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3654" w:type="dxa"/>
            <w:noWrap w:val="0"/>
            <w:vAlign w:val="center"/>
          </w:tcPr>
          <w:p w14:paraId="58C98C58">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杀铃脲</w:t>
            </w:r>
          </w:p>
        </w:tc>
        <w:tc>
          <w:tcPr>
            <w:tcW w:w="5580" w:type="dxa"/>
            <w:noWrap w:val="0"/>
            <w:vAlign w:val="center"/>
          </w:tcPr>
          <w:p w14:paraId="0778378C">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鳞翅目类（地老虎、重阳木斑蛾，刺蛾等）</w:t>
            </w:r>
          </w:p>
        </w:tc>
      </w:tr>
      <w:tr w14:paraId="2078E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jc w:val="center"/>
        </w:trPr>
        <w:tc>
          <w:tcPr>
            <w:tcW w:w="3654" w:type="dxa"/>
            <w:noWrap w:val="0"/>
            <w:vAlign w:val="center"/>
          </w:tcPr>
          <w:p w14:paraId="2A0CBE4A">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Bt制剂（灭蛾灵、苏力保）</w:t>
            </w:r>
          </w:p>
        </w:tc>
        <w:tc>
          <w:tcPr>
            <w:tcW w:w="5580" w:type="dxa"/>
            <w:noWrap w:val="0"/>
            <w:vAlign w:val="center"/>
          </w:tcPr>
          <w:p w14:paraId="4D32206B">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鳞翅目类（利用苏云金杆菌杀虫）（同上）</w:t>
            </w:r>
          </w:p>
        </w:tc>
      </w:tr>
      <w:tr w14:paraId="65686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3654" w:type="dxa"/>
            <w:noWrap w:val="0"/>
            <w:vAlign w:val="center"/>
          </w:tcPr>
          <w:p w14:paraId="7759546F">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杀虫素</w:t>
            </w:r>
          </w:p>
        </w:tc>
        <w:tc>
          <w:tcPr>
            <w:tcW w:w="5580" w:type="dxa"/>
            <w:noWrap w:val="0"/>
            <w:vAlign w:val="center"/>
          </w:tcPr>
          <w:p w14:paraId="7ADC5426">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香樟、桃、毛鹃等植物上的螨、</w:t>
            </w:r>
          </w:p>
          <w:p w14:paraId="5970340F">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网蝽等刺吸类</w:t>
            </w:r>
          </w:p>
        </w:tc>
      </w:tr>
      <w:tr w14:paraId="65218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3654" w:type="dxa"/>
            <w:noWrap w:val="0"/>
            <w:vAlign w:val="center"/>
          </w:tcPr>
          <w:p w14:paraId="0237B660">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阿维毒乳油</w:t>
            </w:r>
          </w:p>
        </w:tc>
        <w:tc>
          <w:tcPr>
            <w:tcW w:w="5580" w:type="dxa"/>
            <w:noWrap w:val="0"/>
            <w:vAlign w:val="center"/>
          </w:tcPr>
          <w:p w14:paraId="7FEBA57F">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鳞翅目、鞘翅目、半翅目、及地下害虫</w:t>
            </w:r>
          </w:p>
        </w:tc>
      </w:tr>
      <w:tr w14:paraId="30D98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3654" w:type="dxa"/>
            <w:noWrap w:val="0"/>
            <w:vAlign w:val="center"/>
          </w:tcPr>
          <w:p w14:paraId="0555FB4C">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虫瘟一号</w:t>
            </w:r>
          </w:p>
        </w:tc>
        <w:tc>
          <w:tcPr>
            <w:tcW w:w="5580" w:type="dxa"/>
            <w:noWrap w:val="0"/>
            <w:vAlign w:val="center"/>
          </w:tcPr>
          <w:p w14:paraId="6589683C">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鳞翅目</w:t>
            </w:r>
          </w:p>
        </w:tc>
      </w:tr>
      <w:tr w14:paraId="6AE68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3654" w:type="dxa"/>
            <w:noWrap w:val="0"/>
            <w:vAlign w:val="center"/>
          </w:tcPr>
          <w:p w14:paraId="0DB17F51">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花保</w:t>
            </w:r>
          </w:p>
        </w:tc>
        <w:tc>
          <w:tcPr>
            <w:tcW w:w="5580" w:type="dxa"/>
            <w:noWrap w:val="0"/>
            <w:vAlign w:val="center"/>
          </w:tcPr>
          <w:p w14:paraId="77D517A7">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蚧类兼治煤污病、叶螨、蚜虫、网蝽</w:t>
            </w:r>
          </w:p>
        </w:tc>
      </w:tr>
      <w:tr w14:paraId="095AC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3654" w:type="dxa"/>
            <w:noWrap w:val="0"/>
            <w:vAlign w:val="center"/>
          </w:tcPr>
          <w:p w14:paraId="2064A95D">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蛾螨灵</w:t>
            </w:r>
          </w:p>
        </w:tc>
        <w:tc>
          <w:tcPr>
            <w:tcW w:w="5580" w:type="dxa"/>
            <w:noWrap w:val="0"/>
            <w:vAlign w:val="center"/>
          </w:tcPr>
          <w:p w14:paraId="1645AD7E">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鳞翅目、同翅目，对螨类有特效</w:t>
            </w:r>
          </w:p>
        </w:tc>
      </w:tr>
      <w:tr w14:paraId="10C7D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3654" w:type="dxa"/>
            <w:noWrap w:val="0"/>
            <w:vAlign w:val="center"/>
          </w:tcPr>
          <w:p w14:paraId="65C82054">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定虫隆（抑太保）</w:t>
            </w:r>
          </w:p>
        </w:tc>
        <w:tc>
          <w:tcPr>
            <w:tcW w:w="5580" w:type="dxa"/>
            <w:noWrap w:val="0"/>
            <w:vAlign w:val="center"/>
          </w:tcPr>
          <w:p w14:paraId="0E217187">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鳞翅目、鞘翅目</w:t>
            </w:r>
          </w:p>
        </w:tc>
      </w:tr>
      <w:tr w14:paraId="00D41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3654" w:type="dxa"/>
            <w:noWrap w:val="0"/>
            <w:vAlign w:val="center"/>
          </w:tcPr>
          <w:p w14:paraId="44205C60">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溴（氯）氰菊酯</w:t>
            </w:r>
          </w:p>
        </w:tc>
        <w:tc>
          <w:tcPr>
            <w:tcW w:w="5580" w:type="dxa"/>
            <w:noWrap w:val="0"/>
            <w:vAlign w:val="center"/>
          </w:tcPr>
          <w:p w14:paraId="557962A0">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鳞翅目、同翅目</w:t>
            </w:r>
          </w:p>
        </w:tc>
      </w:tr>
      <w:tr w14:paraId="1BC0C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3654" w:type="dxa"/>
            <w:noWrap w:val="0"/>
            <w:vAlign w:val="center"/>
          </w:tcPr>
          <w:p w14:paraId="0BBA22B9">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功夫菊酯</w:t>
            </w:r>
          </w:p>
        </w:tc>
        <w:tc>
          <w:tcPr>
            <w:tcW w:w="5580" w:type="dxa"/>
            <w:noWrap w:val="0"/>
            <w:vAlign w:val="center"/>
          </w:tcPr>
          <w:p w14:paraId="49578956">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鳞翅目、同翅目、鞘翅目</w:t>
            </w:r>
          </w:p>
        </w:tc>
      </w:tr>
      <w:tr w14:paraId="16BF9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3654" w:type="dxa"/>
            <w:noWrap w:val="0"/>
            <w:vAlign w:val="center"/>
          </w:tcPr>
          <w:p w14:paraId="4307AE3D">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井冈霉素</w:t>
            </w:r>
          </w:p>
        </w:tc>
        <w:tc>
          <w:tcPr>
            <w:tcW w:w="5580" w:type="dxa"/>
            <w:noWrap w:val="0"/>
            <w:vAlign w:val="center"/>
          </w:tcPr>
          <w:p w14:paraId="18746CAF">
            <w:pPr>
              <w:spacing w:line="360" w:lineRule="auto"/>
              <w:ind w:firstLine="37" w:firstLineChars="18"/>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鳞翅目、同翅目，叶斑病、立枯病等</w:t>
            </w:r>
          </w:p>
        </w:tc>
      </w:tr>
      <w:tr w14:paraId="2C06A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3654" w:type="dxa"/>
            <w:noWrap w:val="0"/>
            <w:vAlign w:val="center"/>
          </w:tcPr>
          <w:p w14:paraId="4366C800">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甲维盐</w:t>
            </w:r>
          </w:p>
        </w:tc>
        <w:tc>
          <w:tcPr>
            <w:tcW w:w="5580" w:type="dxa"/>
            <w:noWrap w:val="0"/>
            <w:vAlign w:val="center"/>
          </w:tcPr>
          <w:p w14:paraId="20A42BAE">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鳞翅目</w:t>
            </w:r>
          </w:p>
        </w:tc>
      </w:tr>
      <w:tr w14:paraId="2A405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3654" w:type="dxa"/>
            <w:noWrap w:val="0"/>
            <w:vAlign w:val="center"/>
          </w:tcPr>
          <w:p w14:paraId="417A184C">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毒死蜱乳油（乐斯本）</w:t>
            </w:r>
          </w:p>
        </w:tc>
        <w:tc>
          <w:tcPr>
            <w:tcW w:w="5580" w:type="dxa"/>
            <w:noWrap w:val="0"/>
            <w:vAlign w:val="center"/>
          </w:tcPr>
          <w:p w14:paraId="6F839DBD">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地下害虫以及多种咀嚼式和刺吸式口器害虫</w:t>
            </w:r>
          </w:p>
        </w:tc>
      </w:tr>
      <w:tr w14:paraId="43D07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3654" w:type="dxa"/>
            <w:noWrap w:val="0"/>
            <w:vAlign w:val="center"/>
          </w:tcPr>
          <w:p w14:paraId="02085880">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绿色威雷</w:t>
            </w:r>
          </w:p>
        </w:tc>
        <w:tc>
          <w:tcPr>
            <w:tcW w:w="5580" w:type="dxa"/>
            <w:noWrap w:val="0"/>
            <w:vAlign w:val="center"/>
          </w:tcPr>
          <w:p w14:paraId="263BEE41">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天牛</w:t>
            </w:r>
          </w:p>
        </w:tc>
      </w:tr>
      <w:tr w14:paraId="7F19A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3654" w:type="dxa"/>
            <w:noWrap w:val="0"/>
            <w:vAlign w:val="center"/>
          </w:tcPr>
          <w:p w14:paraId="0520E4B6">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30%杀铃脲·辛乳油</w:t>
            </w:r>
          </w:p>
        </w:tc>
        <w:tc>
          <w:tcPr>
            <w:tcW w:w="5580" w:type="dxa"/>
            <w:noWrap w:val="0"/>
            <w:vAlign w:val="center"/>
          </w:tcPr>
          <w:p w14:paraId="3F4C71EF">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地下害虫</w:t>
            </w:r>
          </w:p>
        </w:tc>
      </w:tr>
      <w:tr w14:paraId="4DC72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3654" w:type="dxa"/>
            <w:noWrap w:val="0"/>
            <w:vAlign w:val="center"/>
          </w:tcPr>
          <w:p w14:paraId="76A172F2">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奥力克</w:t>
            </w:r>
          </w:p>
        </w:tc>
        <w:tc>
          <w:tcPr>
            <w:tcW w:w="5580" w:type="dxa"/>
            <w:noWrap w:val="0"/>
            <w:vAlign w:val="center"/>
          </w:tcPr>
          <w:p w14:paraId="62B2F15E">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蛴螬、蝼蛄等地下害虫</w:t>
            </w:r>
          </w:p>
        </w:tc>
      </w:tr>
      <w:tr w14:paraId="482A3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3654" w:type="dxa"/>
            <w:noWrap w:val="0"/>
            <w:vAlign w:val="center"/>
          </w:tcPr>
          <w:p w14:paraId="2DD33F86">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辛硫磷</w:t>
            </w:r>
          </w:p>
        </w:tc>
        <w:tc>
          <w:tcPr>
            <w:tcW w:w="5580" w:type="dxa"/>
            <w:noWrap w:val="0"/>
            <w:vAlign w:val="center"/>
          </w:tcPr>
          <w:p w14:paraId="6EBBF84F">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蛴螬、蝼蛄等地下害虫</w:t>
            </w:r>
          </w:p>
        </w:tc>
      </w:tr>
      <w:tr w14:paraId="14330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3654" w:type="dxa"/>
            <w:noWrap w:val="0"/>
            <w:vAlign w:val="center"/>
          </w:tcPr>
          <w:p w14:paraId="440DDF07">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护树宝注干剂（树大夫）</w:t>
            </w:r>
          </w:p>
        </w:tc>
        <w:tc>
          <w:tcPr>
            <w:tcW w:w="5580" w:type="dxa"/>
            <w:noWrap w:val="0"/>
            <w:vAlign w:val="center"/>
          </w:tcPr>
          <w:p w14:paraId="0DA32E6F">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刺吸性害虫（蚧虫类、天牛等）</w:t>
            </w:r>
          </w:p>
        </w:tc>
      </w:tr>
      <w:tr w14:paraId="4237C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3654" w:type="dxa"/>
            <w:noWrap w:val="0"/>
            <w:vAlign w:val="center"/>
          </w:tcPr>
          <w:p w14:paraId="4AFF5AC4">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蛀干害虫毒签</w:t>
            </w:r>
          </w:p>
        </w:tc>
        <w:tc>
          <w:tcPr>
            <w:tcW w:w="5580" w:type="dxa"/>
            <w:noWrap w:val="0"/>
            <w:vAlign w:val="center"/>
          </w:tcPr>
          <w:p w14:paraId="335C6F88">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天牛、木蠹蛾、小蠹冲等蛀干类害虫</w:t>
            </w:r>
          </w:p>
        </w:tc>
      </w:tr>
      <w:tr w14:paraId="73848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3654" w:type="dxa"/>
            <w:noWrap w:val="0"/>
            <w:vAlign w:val="center"/>
          </w:tcPr>
          <w:p w14:paraId="58789159">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速蚧克乳剂</w:t>
            </w:r>
          </w:p>
        </w:tc>
        <w:tc>
          <w:tcPr>
            <w:tcW w:w="5580" w:type="dxa"/>
            <w:noWrap w:val="0"/>
            <w:vAlign w:val="center"/>
          </w:tcPr>
          <w:p w14:paraId="56CA06AF">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各种介壳虫</w:t>
            </w:r>
          </w:p>
        </w:tc>
      </w:tr>
      <w:tr w14:paraId="291E7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3654" w:type="dxa"/>
            <w:noWrap w:val="0"/>
            <w:vAlign w:val="center"/>
          </w:tcPr>
          <w:p w14:paraId="0CC7DA15">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速扑杀</w:t>
            </w:r>
          </w:p>
        </w:tc>
        <w:tc>
          <w:tcPr>
            <w:tcW w:w="5580" w:type="dxa"/>
            <w:noWrap w:val="0"/>
            <w:vAlign w:val="center"/>
          </w:tcPr>
          <w:p w14:paraId="3AC9BAC5">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各种介壳虫</w:t>
            </w:r>
          </w:p>
        </w:tc>
      </w:tr>
      <w:tr w14:paraId="3D557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3654" w:type="dxa"/>
            <w:noWrap w:val="0"/>
            <w:vAlign w:val="center"/>
          </w:tcPr>
          <w:p w14:paraId="374F35F5">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啶虫脒</w:t>
            </w:r>
          </w:p>
        </w:tc>
        <w:tc>
          <w:tcPr>
            <w:tcW w:w="5580" w:type="dxa"/>
            <w:noWrap w:val="0"/>
            <w:vAlign w:val="center"/>
          </w:tcPr>
          <w:p w14:paraId="30B1BB3D">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各种介壳虫、蚜虫、粉虱</w:t>
            </w:r>
          </w:p>
        </w:tc>
      </w:tr>
      <w:tr w14:paraId="1870E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3654" w:type="dxa"/>
            <w:noWrap w:val="0"/>
            <w:vAlign w:val="center"/>
          </w:tcPr>
          <w:p w14:paraId="03A1EC7D">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吡虫啉</w:t>
            </w:r>
          </w:p>
        </w:tc>
        <w:tc>
          <w:tcPr>
            <w:tcW w:w="5580" w:type="dxa"/>
            <w:noWrap w:val="0"/>
            <w:vAlign w:val="center"/>
          </w:tcPr>
          <w:p w14:paraId="7081F320">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蚜虫、潜叶蛾、潜叶蝇等</w:t>
            </w:r>
          </w:p>
        </w:tc>
      </w:tr>
      <w:tr w14:paraId="01CC2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3654" w:type="dxa"/>
            <w:noWrap w:val="0"/>
            <w:vAlign w:val="center"/>
          </w:tcPr>
          <w:p w14:paraId="3993C356">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8%中保杀螨乳油</w:t>
            </w:r>
          </w:p>
        </w:tc>
        <w:tc>
          <w:tcPr>
            <w:tcW w:w="5580" w:type="dxa"/>
            <w:noWrap w:val="0"/>
            <w:vAlign w:val="center"/>
          </w:tcPr>
          <w:p w14:paraId="064A2F53">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对螨类有特效</w:t>
            </w:r>
          </w:p>
        </w:tc>
      </w:tr>
      <w:tr w14:paraId="6187A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3654" w:type="dxa"/>
            <w:noWrap w:val="0"/>
            <w:vAlign w:val="center"/>
          </w:tcPr>
          <w:p w14:paraId="52529BC9">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哒嗪酮</w:t>
            </w:r>
          </w:p>
        </w:tc>
        <w:tc>
          <w:tcPr>
            <w:tcW w:w="5580" w:type="dxa"/>
            <w:noWrap w:val="0"/>
            <w:vAlign w:val="center"/>
          </w:tcPr>
          <w:p w14:paraId="16651104">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螨类</w:t>
            </w:r>
          </w:p>
        </w:tc>
      </w:tr>
      <w:tr w14:paraId="52D0B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54" w:type="dxa"/>
            <w:noWrap w:val="0"/>
            <w:vAlign w:val="center"/>
          </w:tcPr>
          <w:p w14:paraId="3EE7B623">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50%灭菌成水溶性粉剂</w:t>
            </w:r>
          </w:p>
        </w:tc>
        <w:tc>
          <w:tcPr>
            <w:tcW w:w="5580" w:type="dxa"/>
            <w:noWrap w:val="0"/>
            <w:vAlign w:val="center"/>
          </w:tcPr>
          <w:p w14:paraId="495A3E3E">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白粉病、锈病、叶斑病、腐烂病、根腐病等</w:t>
            </w:r>
          </w:p>
        </w:tc>
      </w:tr>
      <w:tr w14:paraId="798F9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3654" w:type="dxa"/>
            <w:noWrap w:val="0"/>
            <w:vAlign w:val="center"/>
          </w:tcPr>
          <w:p w14:paraId="74F38B9A">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12.10%烯唑醇可湿性粉剂（力克菌）</w:t>
            </w:r>
          </w:p>
        </w:tc>
        <w:tc>
          <w:tcPr>
            <w:tcW w:w="5580" w:type="dxa"/>
            <w:noWrap w:val="0"/>
            <w:vAlign w:val="center"/>
          </w:tcPr>
          <w:p w14:paraId="4485D6EE">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白粉病、锈病、灰霉病、黑斑病、立枯病等</w:t>
            </w:r>
          </w:p>
        </w:tc>
      </w:tr>
      <w:tr w14:paraId="5471A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3654" w:type="dxa"/>
            <w:noWrap w:val="0"/>
            <w:vAlign w:val="center"/>
          </w:tcPr>
          <w:p w14:paraId="013D5193">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20%龙克菌悬浮剂</w:t>
            </w:r>
          </w:p>
        </w:tc>
        <w:tc>
          <w:tcPr>
            <w:tcW w:w="5580" w:type="dxa"/>
            <w:noWrap w:val="0"/>
            <w:vAlign w:val="center"/>
          </w:tcPr>
          <w:p w14:paraId="6C7259E4">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叶斑病、炭疽病、角斑病等</w:t>
            </w:r>
          </w:p>
        </w:tc>
      </w:tr>
      <w:tr w14:paraId="7A7B3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3654" w:type="dxa"/>
            <w:noWrap w:val="0"/>
            <w:vAlign w:val="center"/>
          </w:tcPr>
          <w:p w14:paraId="19FB8116">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25%阿西米达悬浮剂</w:t>
            </w:r>
          </w:p>
        </w:tc>
        <w:tc>
          <w:tcPr>
            <w:tcW w:w="5580" w:type="dxa"/>
            <w:noWrap w:val="0"/>
            <w:vAlign w:val="center"/>
          </w:tcPr>
          <w:p w14:paraId="14103554">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霜霉病、早疫病、炭疽病、叶斑病</w:t>
            </w:r>
          </w:p>
        </w:tc>
      </w:tr>
      <w:tr w14:paraId="77964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3654" w:type="dxa"/>
            <w:noWrap w:val="0"/>
            <w:vAlign w:val="center"/>
          </w:tcPr>
          <w:p w14:paraId="3F241314">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15%三唑酮乳油（粉锈宁）</w:t>
            </w:r>
          </w:p>
        </w:tc>
        <w:tc>
          <w:tcPr>
            <w:tcW w:w="5580" w:type="dxa"/>
            <w:noWrap w:val="0"/>
            <w:vAlign w:val="center"/>
          </w:tcPr>
          <w:p w14:paraId="6BAF61FE">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锈病、白粉病等真菌类病害</w:t>
            </w:r>
          </w:p>
        </w:tc>
      </w:tr>
      <w:tr w14:paraId="7DEE5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3654" w:type="dxa"/>
            <w:noWrap w:val="0"/>
            <w:vAlign w:val="center"/>
          </w:tcPr>
          <w:p w14:paraId="76E6D53C">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甲基拖布津</w:t>
            </w:r>
          </w:p>
        </w:tc>
        <w:tc>
          <w:tcPr>
            <w:tcW w:w="5580" w:type="dxa"/>
            <w:noWrap w:val="0"/>
            <w:vAlign w:val="center"/>
          </w:tcPr>
          <w:p w14:paraId="7E17B0ED">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锈病、叶斑病、腐烂病、穿孔病等</w:t>
            </w:r>
          </w:p>
        </w:tc>
      </w:tr>
      <w:tr w14:paraId="7514B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3654" w:type="dxa"/>
            <w:noWrap w:val="0"/>
            <w:vAlign w:val="center"/>
          </w:tcPr>
          <w:p w14:paraId="6D9CF519">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代森锌（大生）</w:t>
            </w:r>
          </w:p>
        </w:tc>
        <w:tc>
          <w:tcPr>
            <w:tcW w:w="5580" w:type="dxa"/>
            <w:noWrap w:val="0"/>
            <w:vAlign w:val="center"/>
          </w:tcPr>
          <w:p w14:paraId="0E3A62F9">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斑枯病、</w:t>
            </w:r>
            <w:r>
              <w:rPr>
                <w:rFonts w:hint="eastAsia" w:ascii="宋体" w:hAnsi="宋体" w:eastAsia="宋体" w:cs="宋体"/>
                <w:kern w:val="2"/>
                <w:sz w:val="21"/>
                <w:szCs w:val="21"/>
                <w:highlight w:val="none"/>
              </w:rPr>
              <w:fldChar w:fldCharType="begin"/>
            </w:r>
            <w:r>
              <w:rPr>
                <w:rFonts w:hint="eastAsia" w:ascii="宋体" w:hAnsi="宋体" w:eastAsia="宋体" w:cs="宋体"/>
                <w:kern w:val="2"/>
                <w:sz w:val="21"/>
                <w:szCs w:val="21"/>
                <w:highlight w:val="none"/>
              </w:rPr>
              <w:instrText xml:space="preserve"> HYPERLINK "http://baike.baidu.com/view/742997.htm" \t "_blank" </w:instrText>
            </w:r>
            <w:r>
              <w:rPr>
                <w:rFonts w:hint="eastAsia" w:ascii="宋体" w:hAnsi="宋体" w:eastAsia="宋体" w:cs="宋体"/>
                <w:kern w:val="2"/>
                <w:sz w:val="21"/>
                <w:szCs w:val="21"/>
                <w:highlight w:val="none"/>
              </w:rPr>
              <w:fldChar w:fldCharType="separate"/>
            </w:r>
            <w:r>
              <w:rPr>
                <w:rFonts w:hint="eastAsia" w:ascii="宋体" w:hAnsi="宋体" w:eastAsia="宋体" w:cs="宋体"/>
                <w:kern w:val="2"/>
                <w:sz w:val="21"/>
                <w:szCs w:val="21"/>
                <w:highlight w:val="none"/>
              </w:rPr>
              <w:t>叶霉病</w:t>
            </w:r>
            <w:r>
              <w:rPr>
                <w:rFonts w:hint="eastAsia" w:ascii="宋体" w:hAnsi="宋体" w:eastAsia="宋体" w:cs="宋体"/>
                <w:kern w:val="2"/>
                <w:sz w:val="21"/>
                <w:szCs w:val="21"/>
                <w:highlight w:val="none"/>
              </w:rPr>
              <w:fldChar w:fldCharType="end"/>
            </w:r>
            <w:r>
              <w:rPr>
                <w:rFonts w:hint="eastAsia" w:ascii="宋体" w:hAnsi="宋体" w:eastAsia="宋体" w:cs="宋体"/>
                <w:kern w:val="2"/>
                <w:sz w:val="21"/>
                <w:szCs w:val="21"/>
                <w:highlight w:val="none"/>
              </w:rPr>
              <w:t>、炭疽病、霜霉病，对白粉病无效</w:t>
            </w:r>
          </w:p>
        </w:tc>
      </w:tr>
      <w:tr w14:paraId="5AFBE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3654" w:type="dxa"/>
            <w:noWrap w:val="0"/>
            <w:vAlign w:val="center"/>
          </w:tcPr>
          <w:p w14:paraId="1D2760EF">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百菌清</w:t>
            </w:r>
          </w:p>
        </w:tc>
        <w:tc>
          <w:tcPr>
            <w:tcW w:w="5580" w:type="dxa"/>
            <w:noWrap w:val="0"/>
            <w:vAlign w:val="center"/>
          </w:tcPr>
          <w:p w14:paraId="7EFD014B">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锈病、炭疽病、白粉病、霜霉病</w:t>
            </w:r>
          </w:p>
        </w:tc>
      </w:tr>
      <w:tr w14:paraId="2AE42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3654" w:type="dxa"/>
            <w:noWrap w:val="0"/>
            <w:vAlign w:val="center"/>
          </w:tcPr>
          <w:p w14:paraId="609902DF">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多菌灵</w:t>
            </w:r>
          </w:p>
        </w:tc>
        <w:tc>
          <w:tcPr>
            <w:tcW w:w="5580" w:type="dxa"/>
            <w:noWrap w:val="0"/>
            <w:vAlign w:val="center"/>
          </w:tcPr>
          <w:p w14:paraId="0A34AEDF">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白粉病、炭疽病、疫病、菌核病、灰霉病、叶斑病、立枯病等</w:t>
            </w:r>
          </w:p>
        </w:tc>
      </w:tr>
      <w:tr w14:paraId="1AD0C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3654" w:type="dxa"/>
            <w:noWrap w:val="0"/>
            <w:vAlign w:val="center"/>
          </w:tcPr>
          <w:p w14:paraId="5130323E">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蜗克星颗粒剂（蜗灭佳）</w:t>
            </w:r>
          </w:p>
        </w:tc>
        <w:tc>
          <w:tcPr>
            <w:tcW w:w="5580" w:type="dxa"/>
            <w:noWrap w:val="0"/>
            <w:vAlign w:val="center"/>
          </w:tcPr>
          <w:p w14:paraId="5810E833">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蜗牛、螺类</w:t>
            </w:r>
          </w:p>
        </w:tc>
      </w:tr>
      <w:tr w14:paraId="002C9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3654" w:type="dxa"/>
            <w:noWrap w:val="0"/>
            <w:vAlign w:val="center"/>
          </w:tcPr>
          <w:p w14:paraId="79911A0A">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密达</w:t>
            </w:r>
          </w:p>
        </w:tc>
        <w:tc>
          <w:tcPr>
            <w:tcW w:w="5580" w:type="dxa"/>
            <w:noWrap w:val="0"/>
            <w:vAlign w:val="center"/>
          </w:tcPr>
          <w:p w14:paraId="60FC82E2">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蜗牛</w:t>
            </w:r>
          </w:p>
        </w:tc>
      </w:tr>
      <w:tr w14:paraId="0E1CC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3654" w:type="dxa"/>
            <w:noWrap w:val="0"/>
            <w:vAlign w:val="center"/>
          </w:tcPr>
          <w:p w14:paraId="6E0E6506">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海藻素</w:t>
            </w:r>
          </w:p>
        </w:tc>
        <w:tc>
          <w:tcPr>
            <w:tcW w:w="5580" w:type="dxa"/>
            <w:noWrap w:val="0"/>
            <w:vAlign w:val="center"/>
          </w:tcPr>
          <w:p w14:paraId="6E1532C8">
            <w:pPr>
              <w:spacing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黄化病</w:t>
            </w:r>
          </w:p>
        </w:tc>
      </w:tr>
    </w:tbl>
    <w:p w14:paraId="260635E3">
      <w:pPr>
        <w:spacing w:line="360" w:lineRule="auto"/>
        <w:rPr>
          <w:rFonts w:hint="eastAsia" w:ascii="宋体" w:hAnsi="宋体" w:eastAsia="宋体" w:cs="宋体"/>
          <w:b/>
          <w:bCs/>
          <w:kern w:val="2"/>
          <w:sz w:val="21"/>
          <w:szCs w:val="21"/>
          <w:highlight w:val="none"/>
        </w:rPr>
      </w:pPr>
      <w:r>
        <w:rPr>
          <w:rFonts w:hint="eastAsia" w:ascii="宋体" w:hAnsi="宋体" w:eastAsia="宋体" w:cs="宋体"/>
          <w:b/>
          <w:bCs/>
          <w:kern w:val="2"/>
          <w:sz w:val="21"/>
          <w:szCs w:val="21"/>
          <w:highlight w:val="none"/>
        </w:rPr>
        <w:t>7.绿化涂白及树木保暖防冻</w:t>
      </w:r>
    </w:p>
    <w:p w14:paraId="7E03F299">
      <w:pPr>
        <w:spacing w:line="360" w:lineRule="auto"/>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7.1树干涂白时间及配方</w:t>
      </w:r>
    </w:p>
    <w:p w14:paraId="364CA718">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bCs/>
          <w:kern w:val="2"/>
          <w:sz w:val="21"/>
          <w:szCs w:val="21"/>
          <w:highlight w:val="none"/>
        </w:rPr>
        <w:t>（1）</w:t>
      </w:r>
      <w:r>
        <w:rPr>
          <w:rFonts w:hint="eastAsia" w:ascii="宋体" w:hAnsi="宋体" w:eastAsia="宋体" w:cs="宋体"/>
          <w:kern w:val="2"/>
          <w:sz w:val="21"/>
          <w:szCs w:val="21"/>
          <w:highlight w:val="none"/>
        </w:rPr>
        <w:t>当月平均气温降至5℃以下，应对树木进行涂白。</w:t>
      </w:r>
    </w:p>
    <w:p w14:paraId="1929CBF6">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bCs/>
          <w:kern w:val="2"/>
          <w:sz w:val="21"/>
          <w:szCs w:val="21"/>
          <w:highlight w:val="none"/>
        </w:rPr>
        <w:t>（2）</w:t>
      </w:r>
      <w:r>
        <w:rPr>
          <w:rFonts w:hint="eastAsia" w:ascii="宋体" w:hAnsi="宋体" w:eastAsia="宋体" w:cs="宋体"/>
          <w:kern w:val="2"/>
          <w:sz w:val="21"/>
          <w:szCs w:val="21"/>
          <w:highlight w:val="none"/>
        </w:rPr>
        <w:t>涂白剂配方为生石灰：石硫合剂：水=5：2：3</w:t>
      </w:r>
    </w:p>
    <w:p w14:paraId="013388E5">
      <w:pPr>
        <w:spacing w:line="360" w:lineRule="auto"/>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7.2 涂白要求</w:t>
      </w:r>
    </w:p>
    <w:p w14:paraId="625EBE07">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（1）使用要将涂白剂充分搅拌，以利刷匀。</w:t>
      </w:r>
    </w:p>
    <w:p w14:paraId="514D6CEF">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（2）在使用涂白剂前，仔细检查，如发现树干上已有害虫蛀孔，要用棉花浸药（内吸性农药如氧化乐果等）把蛀孔堵住后再进行涂白处理。</w:t>
      </w:r>
    </w:p>
    <w:p w14:paraId="270F98E6">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（3）大乔木（含行道树、林带或孤值景观树）甲、乙类区域涂白高度在离地1.2米，并且要保持同一高度，以利美观。其他区域行道树与孤值景观树为1.2米，林带为1.0米。</w:t>
      </w:r>
    </w:p>
    <w:p w14:paraId="5FD5B467">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小乔木、花木呈群落式种植的，同品种、同规格的高度应统一，高度在50cm—100cm之间。</w:t>
      </w:r>
    </w:p>
    <w:p w14:paraId="735116E7">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（4）涂白前应清理树木附着死皮，涂抹要均匀，确保涂白剂与树干充分粘合，并要防止滴洒在周围的路面上或树池中，影响美观。</w:t>
      </w:r>
    </w:p>
    <w:p w14:paraId="2D5821A4">
      <w:pPr>
        <w:spacing w:line="360" w:lineRule="auto"/>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7.3 树木保暖防冻</w:t>
      </w:r>
    </w:p>
    <w:p w14:paraId="2026B395">
      <w:pPr>
        <w:spacing w:line="360" w:lineRule="auto"/>
        <w:ind w:firstLine="420" w:firstLineChars="200"/>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rPr>
        <w:t>（1）每年初冬，均需对行道树进行抗冻处理（根基培土），并在树木的休眠期内，进行扶正，易发生冻害树木主干包扎。</w:t>
      </w:r>
    </w:p>
    <w:p w14:paraId="5EA4D0B0">
      <w:pPr>
        <w:spacing w:line="360" w:lineRule="auto"/>
        <w:rPr>
          <w:rFonts w:hint="eastAsia" w:ascii="宋体" w:hAnsi="宋体" w:eastAsia="宋体" w:cs="宋体"/>
          <w:b/>
          <w:bCs/>
          <w:kern w:val="2"/>
          <w:sz w:val="21"/>
          <w:szCs w:val="21"/>
          <w:highlight w:val="none"/>
        </w:rPr>
      </w:pPr>
      <w:r>
        <w:rPr>
          <w:rFonts w:hint="eastAsia" w:ascii="宋体" w:hAnsi="宋体" w:eastAsia="宋体" w:cs="宋体"/>
          <w:b/>
          <w:bCs/>
          <w:kern w:val="2"/>
          <w:sz w:val="21"/>
          <w:szCs w:val="21"/>
          <w:highlight w:val="none"/>
        </w:rPr>
        <w:t>8.防台抗灾</w:t>
      </w:r>
    </w:p>
    <w:p w14:paraId="2DD41C84">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bCs/>
          <w:kern w:val="2"/>
          <w:sz w:val="21"/>
          <w:szCs w:val="21"/>
          <w:highlight w:val="none"/>
        </w:rPr>
        <w:t>做好夏季防台抗灾工作，遇到树木斜倒时在24小时内扶正，冬季积雪达到5—6CM时保证及时组织人员。</w:t>
      </w:r>
    </w:p>
    <w:p w14:paraId="0E66E18F">
      <w:pPr>
        <w:spacing w:line="360" w:lineRule="auto"/>
        <w:rPr>
          <w:rFonts w:hint="eastAsia" w:ascii="宋体" w:hAnsi="宋体" w:eastAsia="宋体" w:cs="宋体"/>
          <w:sz w:val="21"/>
          <w:szCs w:val="21"/>
          <w:highlight w:val="none"/>
        </w:rPr>
        <w:sectPr>
          <w:pgSz w:w="11907" w:h="16840"/>
          <w:pgMar w:top="1418" w:right="1134" w:bottom="1418" w:left="1701" w:header="851" w:footer="851" w:gutter="0"/>
          <w:cols w:space="720" w:num="1"/>
          <w:docGrid w:linePitch="462" w:charSpace="0"/>
        </w:sectPr>
      </w:pPr>
    </w:p>
    <w:p w14:paraId="0DA2F33A">
      <w:pPr>
        <w:spacing w:line="240" w:lineRule="auto"/>
        <w:rPr>
          <w:rFonts w:hint="eastAsia" w:ascii="宋体" w:hAnsi="宋体" w:eastAsia="宋体" w:cs="宋体"/>
          <w:kern w:val="2"/>
          <w:sz w:val="21"/>
          <w:szCs w:val="21"/>
          <w:highlight w:val="none"/>
        </w:rPr>
      </w:pP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1"/>
        <w:gridCol w:w="1206"/>
        <w:gridCol w:w="5202"/>
        <w:gridCol w:w="5693"/>
        <w:gridCol w:w="1668"/>
      </w:tblGrid>
      <w:tr w14:paraId="6BFBA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0" w:type="auto"/>
            <w:gridSpan w:val="5"/>
            <w:noWrap w:val="0"/>
            <w:vAlign w:val="center"/>
          </w:tcPr>
          <w:p w14:paraId="4766204B">
            <w:pPr>
              <w:spacing w:line="240" w:lineRule="auto"/>
              <w:jc w:val="center"/>
              <w:rPr>
                <w:rFonts w:hint="eastAsia" w:ascii="宋体" w:hAnsi="宋体" w:eastAsia="宋体" w:cs="宋体"/>
                <w:b/>
                <w:bCs/>
                <w:kern w:val="2"/>
                <w:sz w:val="18"/>
                <w:szCs w:val="18"/>
                <w:highlight w:val="none"/>
              </w:rPr>
            </w:pPr>
            <w:r>
              <w:rPr>
                <w:rFonts w:hint="eastAsia" w:ascii="宋体" w:hAnsi="宋体" w:eastAsia="宋体" w:cs="宋体"/>
                <w:b/>
                <w:bCs/>
                <w:kern w:val="2"/>
                <w:sz w:val="18"/>
                <w:szCs w:val="18"/>
                <w:highlight w:val="none"/>
              </w:rPr>
              <w:t>朱林镇绿化养护技术规程</w:t>
            </w:r>
          </w:p>
        </w:tc>
      </w:tr>
      <w:tr w14:paraId="0E0CA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0" w:type="auto"/>
            <w:noWrap w:val="0"/>
            <w:vAlign w:val="center"/>
          </w:tcPr>
          <w:p w14:paraId="0D06CC81">
            <w:pPr>
              <w:spacing w:line="240" w:lineRule="auto"/>
              <w:jc w:val="center"/>
              <w:rPr>
                <w:rFonts w:hint="eastAsia" w:ascii="宋体" w:hAnsi="宋体" w:eastAsia="宋体" w:cs="宋体"/>
                <w:b/>
                <w:bCs/>
                <w:kern w:val="2"/>
                <w:sz w:val="18"/>
                <w:szCs w:val="18"/>
                <w:highlight w:val="none"/>
              </w:rPr>
            </w:pPr>
            <w:r>
              <w:rPr>
                <w:rFonts w:hint="eastAsia" w:ascii="宋体" w:hAnsi="宋体" w:eastAsia="宋体" w:cs="宋体"/>
                <w:b/>
                <w:bCs/>
                <w:kern w:val="2"/>
                <w:sz w:val="18"/>
                <w:szCs w:val="18"/>
                <w:highlight w:val="none"/>
              </w:rPr>
              <w:t>月份</w:t>
            </w:r>
          </w:p>
        </w:tc>
        <w:tc>
          <w:tcPr>
            <w:tcW w:w="1206" w:type="dxa"/>
            <w:noWrap w:val="0"/>
            <w:vAlign w:val="center"/>
          </w:tcPr>
          <w:p w14:paraId="63B64FFF">
            <w:pPr>
              <w:spacing w:line="240" w:lineRule="auto"/>
              <w:jc w:val="center"/>
              <w:rPr>
                <w:rFonts w:hint="eastAsia" w:ascii="宋体" w:hAnsi="宋体" w:eastAsia="宋体" w:cs="宋体"/>
                <w:b/>
                <w:bCs/>
                <w:kern w:val="2"/>
                <w:sz w:val="18"/>
                <w:szCs w:val="18"/>
                <w:highlight w:val="none"/>
              </w:rPr>
            </w:pPr>
            <w:r>
              <w:rPr>
                <w:rFonts w:hint="eastAsia" w:ascii="宋体" w:hAnsi="宋体" w:eastAsia="宋体" w:cs="宋体"/>
                <w:b/>
                <w:bCs/>
                <w:kern w:val="2"/>
                <w:sz w:val="18"/>
                <w:szCs w:val="18"/>
                <w:highlight w:val="none"/>
              </w:rPr>
              <w:t>养护内容</w:t>
            </w:r>
          </w:p>
        </w:tc>
        <w:tc>
          <w:tcPr>
            <w:tcW w:w="5202" w:type="dxa"/>
            <w:noWrap w:val="0"/>
            <w:vAlign w:val="center"/>
          </w:tcPr>
          <w:p w14:paraId="40C84756">
            <w:pPr>
              <w:spacing w:line="240" w:lineRule="auto"/>
              <w:jc w:val="center"/>
              <w:rPr>
                <w:rFonts w:hint="eastAsia" w:ascii="宋体" w:hAnsi="宋体" w:eastAsia="宋体" w:cs="宋体"/>
                <w:b/>
                <w:bCs/>
                <w:kern w:val="2"/>
                <w:sz w:val="18"/>
                <w:szCs w:val="18"/>
                <w:highlight w:val="none"/>
              </w:rPr>
            </w:pPr>
            <w:r>
              <w:rPr>
                <w:rFonts w:hint="eastAsia" w:ascii="宋体" w:hAnsi="宋体" w:eastAsia="宋体" w:cs="宋体"/>
                <w:b/>
                <w:bCs/>
                <w:kern w:val="2"/>
                <w:sz w:val="18"/>
                <w:szCs w:val="18"/>
                <w:highlight w:val="none"/>
              </w:rPr>
              <w:t>技术要求</w:t>
            </w:r>
          </w:p>
        </w:tc>
        <w:tc>
          <w:tcPr>
            <w:tcW w:w="0" w:type="auto"/>
            <w:noWrap w:val="0"/>
            <w:vAlign w:val="center"/>
          </w:tcPr>
          <w:p w14:paraId="6BFC2E6E">
            <w:pPr>
              <w:spacing w:line="240" w:lineRule="auto"/>
              <w:jc w:val="center"/>
              <w:rPr>
                <w:rFonts w:hint="eastAsia" w:ascii="宋体" w:hAnsi="宋体" w:eastAsia="宋体" w:cs="宋体"/>
                <w:b/>
                <w:bCs/>
                <w:kern w:val="2"/>
                <w:sz w:val="18"/>
                <w:szCs w:val="18"/>
                <w:highlight w:val="none"/>
              </w:rPr>
            </w:pPr>
            <w:r>
              <w:rPr>
                <w:rFonts w:hint="eastAsia" w:ascii="宋体" w:hAnsi="宋体" w:eastAsia="宋体" w:cs="宋体"/>
                <w:b/>
                <w:bCs/>
                <w:kern w:val="2"/>
                <w:sz w:val="18"/>
                <w:szCs w:val="18"/>
                <w:highlight w:val="none"/>
              </w:rPr>
              <w:t>具体要求</w:t>
            </w:r>
          </w:p>
        </w:tc>
        <w:tc>
          <w:tcPr>
            <w:tcW w:w="0" w:type="auto"/>
            <w:noWrap w:val="0"/>
            <w:vAlign w:val="center"/>
          </w:tcPr>
          <w:p w14:paraId="64A2534F">
            <w:pPr>
              <w:spacing w:line="240" w:lineRule="auto"/>
              <w:jc w:val="center"/>
              <w:rPr>
                <w:rFonts w:hint="eastAsia" w:ascii="宋体" w:hAnsi="宋体" w:eastAsia="宋体" w:cs="宋体"/>
                <w:b/>
                <w:bCs/>
                <w:kern w:val="2"/>
                <w:sz w:val="18"/>
                <w:szCs w:val="18"/>
                <w:highlight w:val="none"/>
              </w:rPr>
            </w:pPr>
            <w:r>
              <w:rPr>
                <w:rFonts w:hint="eastAsia" w:ascii="宋体" w:hAnsi="宋体" w:eastAsia="宋体" w:cs="宋体"/>
                <w:b/>
                <w:bCs/>
                <w:kern w:val="2"/>
                <w:sz w:val="18"/>
                <w:szCs w:val="18"/>
                <w:highlight w:val="none"/>
              </w:rPr>
              <w:t>备注</w:t>
            </w:r>
          </w:p>
        </w:tc>
      </w:tr>
      <w:tr w14:paraId="5F966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trPr>
        <w:tc>
          <w:tcPr>
            <w:tcW w:w="0" w:type="auto"/>
            <w:vMerge w:val="restart"/>
            <w:noWrap w:val="0"/>
            <w:vAlign w:val="center"/>
          </w:tcPr>
          <w:p w14:paraId="21E9977C">
            <w:pPr>
              <w:spacing w:line="240" w:lineRule="auto"/>
              <w:jc w:val="both"/>
              <w:rPr>
                <w:rFonts w:hint="eastAsia" w:ascii="宋体" w:hAnsi="宋体" w:eastAsia="宋体" w:cs="宋体"/>
                <w:b/>
                <w:bCs/>
                <w:kern w:val="2"/>
                <w:sz w:val="18"/>
                <w:szCs w:val="18"/>
                <w:highlight w:val="none"/>
              </w:rPr>
            </w:pPr>
            <w:r>
              <w:rPr>
                <w:rFonts w:hint="eastAsia" w:ascii="宋体" w:hAnsi="宋体" w:eastAsia="宋体" w:cs="宋体"/>
                <w:b/>
                <w:bCs/>
                <w:kern w:val="2"/>
                <w:sz w:val="18"/>
                <w:szCs w:val="18"/>
                <w:highlight w:val="none"/>
              </w:rPr>
              <w:t>一月</w:t>
            </w:r>
          </w:p>
        </w:tc>
        <w:tc>
          <w:tcPr>
            <w:tcW w:w="1206" w:type="dxa"/>
            <w:noWrap w:val="0"/>
            <w:vAlign w:val="center"/>
          </w:tcPr>
          <w:p w14:paraId="443B1F9D">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lang w:val="en-US" w:eastAsia="zh-CN"/>
              </w:rPr>
              <w:t>1</w:t>
            </w:r>
            <w:r>
              <w:rPr>
                <w:rFonts w:hint="eastAsia" w:ascii="宋体" w:hAnsi="宋体" w:eastAsia="宋体" w:cs="宋体"/>
                <w:kern w:val="2"/>
                <w:sz w:val="18"/>
                <w:szCs w:val="18"/>
                <w:highlight w:val="none"/>
              </w:rPr>
              <w:t>、冬季修剪</w:t>
            </w:r>
          </w:p>
        </w:tc>
        <w:tc>
          <w:tcPr>
            <w:tcW w:w="5202" w:type="dxa"/>
            <w:noWrap w:val="0"/>
            <w:vAlign w:val="center"/>
          </w:tcPr>
          <w:p w14:paraId="505CDAF9">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lang w:val="en-US" w:eastAsia="zh-CN"/>
              </w:rPr>
              <w:t>1</w:t>
            </w:r>
            <w:r>
              <w:rPr>
                <w:rFonts w:hint="eastAsia" w:ascii="宋体" w:hAnsi="宋体" w:eastAsia="宋体" w:cs="宋体"/>
                <w:kern w:val="2"/>
                <w:sz w:val="18"/>
                <w:szCs w:val="18"/>
                <w:highlight w:val="none"/>
              </w:rPr>
              <w:t xml:space="preserve">、树木：清理死苗，修去病虫枝、徒长枝、过密枝、枯死枝及藤蔓寄生物，保持树形优美；安全措施符合规范要求。　　　　　　　　                        </w:t>
            </w:r>
            <w:r>
              <w:rPr>
                <w:rFonts w:hint="eastAsia" w:ascii="宋体" w:hAnsi="宋体" w:eastAsia="宋体" w:cs="宋体"/>
                <w:kern w:val="2"/>
                <w:sz w:val="18"/>
                <w:szCs w:val="18"/>
                <w:highlight w:val="none"/>
                <w:lang w:val="en-US" w:eastAsia="zh-CN"/>
              </w:rPr>
              <w:t>2</w:t>
            </w:r>
            <w:r>
              <w:rPr>
                <w:rFonts w:hint="eastAsia" w:ascii="宋体" w:hAnsi="宋体" w:eastAsia="宋体" w:cs="宋体"/>
                <w:kern w:val="2"/>
                <w:sz w:val="18"/>
                <w:szCs w:val="18"/>
                <w:highlight w:val="none"/>
              </w:rPr>
              <w:t xml:space="preserve">、色块：保持整齐美观，修杂乱枝及藤蔓枯枝，做到线直面平。　                                                              </w:t>
            </w:r>
            <w:r>
              <w:rPr>
                <w:rFonts w:hint="eastAsia" w:ascii="宋体" w:hAnsi="宋体" w:eastAsia="宋体" w:cs="宋体"/>
                <w:kern w:val="2"/>
                <w:sz w:val="18"/>
                <w:szCs w:val="18"/>
                <w:highlight w:val="none"/>
                <w:lang w:val="en-US" w:eastAsia="zh-CN"/>
              </w:rPr>
              <w:t>3</w:t>
            </w:r>
            <w:r>
              <w:rPr>
                <w:rFonts w:hint="eastAsia" w:ascii="宋体" w:hAnsi="宋体" w:eastAsia="宋体" w:cs="宋体"/>
                <w:kern w:val="2"/>
                <w:sz w:val="18"/>
                <w:szCs w:val="18"/>
                <w:highlight w:val="none"/>
              </w:rPr>
              <w:t>、修剪物及时清理。</w:t>
            </w:r>
          </w:p>
        </w:tc>
        <w:tc>
          <w:tcPr>
            <w:tcW w:w="0" w:type="auto"/>
            <w:noWrap w:val="0"/>
            <w:vAlign w:val="center"/>
          </w:tcPr>
          <w:p w14:paraId="4D815B8E">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花灌木、藤本整形修剪一次；乔木整形修剪一次；大小乔木上的枯枝、伤残枝、病虫枝及妨碍架空线和建筑物的枝杈进行修剪                     </w:t>
            </w:r>
          </w:p>
          <w:p w14:paraId="76EA12B3">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对于受低温冻伤的植物如杜英、茶梅、栀子、八角金盘嫩梢等，应修剪清除伤枝残叶，防天暖时病虫害乘虚而入。</w:t>
            </w:r>
          </w:p>
        </w:tc>
        <w:tc>
          <w:tcPr>
            <w:tcW w:w="0" w:type="auto"/>
            <w:vMerge w:val="restart"/>
            <w:noWrap w:val="0"/>
            <w:vAlign w:val="center"/>
          </w:tcPr>
          <w:p w14:paraId="2B6BC90B">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1、本月为冬季养护工作的关键阶段，属冬季养护质量、措施巩固提高阶段。尤其注意施肥实施。</w:t>
            </w:r>
          </w:p>
        </w:tc>
      </w:tr>
      <w:tr w14:paraId="7D92B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trPr>
        <w:tc>
          <w:tcPr>
            <w:tcW w:w="0" w:type="auto"/>
            <w:vMerge w:val="continue"/>
            <w:noWrap w:val="0"/>
            <w:vAlign w:val="center"/>
          </w:tcPr>
          <w:p w14:paraId="791A1B68">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6234A395">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2、深施基肥</w:t>
            </w:r>
          </w:p>
        </w:tc>
        <w:tc>
          <w:tcPr>
            <w:tcW w:w="5202" w:type="dxa"/>
            <w:noWrap w:val="0"/>
            <w:vAlign w:val="center"/>
          </w:tcPr>
          <w:p w14:paraId="6655A3EC">
            <w:pPr>
              <w:spacing w:line="240" w:lineRule="auto"/>
              <w:jc w:val="left"/>
              <w:rPr>
                <w:rFonts w:hint="eastAsia" w:ascii="宋体" w:hAnsi="宋体" w:eastAsia="宋体" w:cs="宋体"/>
                <w:kern w:val="2"/>
                <w:sz w:val="18"/>
                <w:szCs w:val="18"/>
                <w:highlight w:val="none"/>
                <w:lang w:eastAsia="zh-CN"/>
              </w:rPr>
            </w:pPr>
            <w:r>
              <w:rPr>
                <w:rFonts w:hint="eastAsia" w:ascii="宋体" w:hAnsi="宋体" w:eastAsia="宋体" w:cs="宋体"/>
                <w:kern w:val="2"/>
                <w:sz w:val="18"/>
                <w:szCs w:val="18"/>
                <w:highlight w:val="none"/>
                <w:lang w:val="en-US" w:eastAsia="zh-CN"/>
              </w:rPr>
              <w:t>1</w:t>
            </w:r>
            <w:r>
              <w:rPr>
                <w:rFonts w:hint="eastAsia" w:ascii="宋体" w:hAnsi="宋体" w:eastAsia="宋体" w:cs="宋体"/>
                <w:kern w:val="2"/>
                <w:sz w:val="18"/>
                <w:szCs w:val="18"/>
                <w:highlight w:val="none"/>
              </w:rPr>
              <w:t xml:space="preserve">、行道树：开环状沟或开塘穴施复合肥。　　　　　　　　    </w:t>
            </w:r>
            <w:r>
              <w:rPr>
                <w:rFonts w:hint="eastAsia" w:ascii="宋体" w:hAnsi="宋体" w:eastAsia="宋体" w:cs="宋体"/>
                <w:kern w:val="2"/>
                <w:sz w:val="18"/>
                <w:szCs w:val="18"/>
                <w:highlight w:val="none"/>
                <w:lang w:val="en-US" w:eastAsia="zh-CN"/>
              </w:rPr>
              <w:t>2</w:t>
            </w:r>
            <w:r>
              <w:rPr>
                <w:rFonts w:hint="eastAsia" w:ascii="宋体" w:hAnsi="宋体" w:eastAsia="宋体" w:cs="宋体"/>
                <w:kern w:val="2"/>
                <w:sz w:val="18"/>
                <w:szCs w:val="18"/>
                <w:highlight w:val="none"/>
              </w:rPr>
              <w:t xml:space="preserve">、色块、草坪：普施有机肥。　　　                                             </w:t>
            </w:r>
            <w:r>
              <w:rPr>
                <w:rFonts w:hint="eastAsia" w:ascii="宋体" w:hAnsi="宋体" w:eastAsia="宋体" w:cs="宋体"/>
                <w:kern w:val="2"/>
                <w:sz w:val="18"/>
                <w:szCs w:val="18"/>
                <w:highlight w:val="none"/>
                <w:lang w:val="en-US" w:eastAsia="zh-CN"/>
              </w:rPr>
              <w:t>3</w:t>
            </w:r>
            <w:r>
              <w:rPr>
                <w:rFonts w:hint="eastAsia" w:ascii="宋体" w:hAnsi="宋体" w:eastAsia="宋体" w:cs="宋体"/>
                <w:kern w:val="2"/>
                <w:sz w:val="18"/>
                <w:szCs w:val="18"/>
                <w:highlight w:val="none"/>
              </w:rPr>
              <w:t>、施肥量：单株苗木：</w:t>
            </w:r>
            <w:r>
              <w:rPr>
                <w:rFonts w:hint="eastAsia" w:ascii="宋体" w:hAnsi="宋体" w:eastAsia="宋体" w:cs="宋体"/>
                <w:kern w:val="2"/>
                <w:sz w:val="18"/>
                <w:szCs w:val="18"/>
                <w:highlight w:val="none"/>
                <w:lang w:val="en-US" w:eastAsia="zh-CN"/>
              </w:rPr>
              <w:t>10</w:t>
            </w:r>
            <w:r>
              <w:rPr>
                <w:rFonts w:hint="eastAsia" w:ascii="宋体" w:hAnsi="宋体" w:eastAsia="宋体" w:cs="宋体"/>
                <w:kern w:val="2"/>
                <w:sz w:val="18"/>
                <w:szCs w:val="18"/>
                <w:highlight w:val="none"/>
              </w:rPr>
              <w:t>公分以上2公斤/株（行道树）；其他树木、色块、地被、草坪:15公斤/亩。</w:t>
            </w:r>
          </w:p>
          <w:p w14:paraId="6AC3E245">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lang w:val="en-US" w:eastAsia="zh-CN"/>
              </w:rPr>
              <w:t>4</w:t>
            </w:r>
            <w:r>
              <w:rPr>
                <w:rFonts w:hint="eastAsia" w:ascii="宋体" w:hAnsi="宋体" w:eastAsia="宋体" w:cs="宋体"/>
                <w:kern w:val="2"/>
                <w:sz w:val="18"/>
                <w:szCs w:val="18"/>
                <w:highlight w:val="none"/>
              </w:rPr>
              <w:t>、施肥均匀，适时，严禁烧苗。</w:t>
            </w:r>
          </w:p>
        </w:tc>
        <w:tc>
          <w:tcPr>
            <w:tcW w:w="0" w:type="auto"/>
            <w:noWrap w:val="0"/>
            <w:vAlign w:val="center"/>
          </w:tcPr>
          <w:p w14:paraId="2F55E6E8">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草坪，花、灌木冬季施用堆肥或泥炭土，每亩施用有机肥15公斤；乔木10公分以上2公斤/株，十公分一下1.5公斤/株，增强植物生长，提高植物抵御病虫侵害的能力</w:t>
            </w:r>
          </w:p>
        </w:tc>
        <w:tc>
          <w:tcPr>
            <w:tcW w:w="0" w:type="auto"/>
            <w:vMerge w:val="continue"/>
            <w:noWrap w:val="0"/>
            <w:vAlign w:val="center"/>
          </w:tcPr>
          <w:p w14:paraId="32785249">
            <w:pPr>
              <w:spacing w:line="240" w:lineRule="auto"/>
              <w:jc w:val="both"/>
              <w:rPr>
                <w:rFonts w:hint="eastAsia" w:ascii="宋体" w:hAnsi="宋体" w:eastAsia="宋体" w:cs="宋体"/>
                <w:kern w:val="2"/>
                <w:sz w:val="18"/>
                <w:szCs w:val="18"/>
                <w:highlight w:val="none"/>
              </w:rPr>
            </w:pPr>
          </w:p>
        </w:tc>
      </w:tr>
      <w:tr w14:paraId="2CEEB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0" w:type="auto"/>
            <w:vMerge w:val="continue"/>
            <w:noWrap w:val="0"/>
            <w:vAlign w:val="center"/>
          </w:tcPr>
          <w:p w14:paraId="11B5C579">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121940F7">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3、防冻保暖</w:t>
            </w:r>
          </w:p>
        </w:tc>
        <w:tc>
          <w:tcPr>
            <w:tcW w:w="5202" w:type="dxa"/>
            <w:noWrap w:val="0"/>
            <w:vAlign w:val="center"/>
          </w:tcPr>
          <w:p w14:paraId="1B163922">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lang w:val="en-US" w:eastAsia="zh-CN"/>
              </w:rPr>
              <w:t>1、</w:t>
            </w:r>
            <w:r>
              <w:rPr>
                <w:rFonts w:hint="eastAsia" w:ascii="宋体" w:hAnsi="宋体" w:eastAsia="宋体" w:cs="宋体"/>
                <w:kern w:val="2"/>
                <w:sz w:val="18"/>
                <w:szCs w:val="18"/>
                <w:highlight w:val="none"/>
              </w:rPr>
              <w:t xml:space="preserve">遇有大雪,对易遭雪压的植物要组织打雪。                             　　　                                 </w:t>
            </w:r>
            <w:r>
              <w:rPr>
                <w:rFonts w:hint="eastAsia" w:ascii="宋体" w:hAnsi="宋体" w:eastAsia="宋体" w:cs="宋体"/>
                <w:kern w:val="2"/>
                <w:sz w:val="18"/>
                <w:szCs w:val="18"/>
                <w:highlight w:val="none"/>
                <w:lang w:val="en-US" w:eastAsia="zh-CN"/>
              </w:rPr>
              <w:t>2</w:t>
            </w:r>
            <w:r>
              <w:rPr>
                <w:rFonts w:hint="eastAsia" w:ascii="宋体" w:hAnsi="宋体" w:eastAsia="宋体" w:cs="宋体"/>
                <w:kern w:val="2"/>
                <w:sz w:val="18"/>
                <w:szCs w:val="18"/>
                <w:highlight w:val="none"/>
              </w:rPr>
              <w:t xml:space="preserve">、天气干燥，在晴天对植物适当浇水，保持土壤湿润。                                                         </w:t>
            </w:r>
          </w:p>
        </w:tc>
        <w:tc>
          <w:tcPr>
            <w:tcW w:w="0" w:type="auto"/>
            <w:noWrap w:val="0"/>
            <w:vAlign w:val="center"/>
          </w:tcPr>
          <w:p w14:paraId="1700C568">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绿地内注意防冻浇水，过于干旱可适当再浇水</w:t>
            </w:r>
          </w:p>
        </w:tc>
        <w:tc>
          <w:tcPr>
            <w:tcW w:w="0" w:type="auto"/>
            <w:vMerge w:val="continue"/>
            <w:noWrap w:val="0"/>
            <w:vAlign w:val="center"/>
          </w:tcPr>
          <w:p w14:paraId="65DBAE3B">
            <w:pPr>
              <w:spacing w:line="240" w:lineRule="auto"/>
              <w:jc w:val="both"/>
              <w:rPr>
                <w:rFonts w:hint="eastAsia" w:ascii="宋体" w:hAnsi="宋体" w:eastAsia="宋体" w:cs="宋体"/>
                <w:kern w:val="2"/>
                <w:sz w:val="18"/>
                <w:szCs w:val="18"/>
                <w:highlight w:val="none"/>
              </w:rPr>
            </w:pPr>
          </w:p>
        </w:tc>
      </w:tr>
      <w:tr w14:paraId="08A7F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0" w:type="auto"/>
            <w:vMerge w:val="continue"/>
            <w:noWrap w:val="0"/>
            <w:vAlign w:val="center"/>
          </w:tcPr>
          <w:p w14:paraId="1C066F5F">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783C4446">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4、土壤深翻熟化</w:t>
            </w:r>
          </w:p>
        </w:tc>
        <w:tc>
          <w:tcPr>
            <w:tcW w:w="5202" w:type="dxa"/>
            <w:noWrap w:val="0"/>
            <w:vAlign w:val="center"/>
          </w:tcPr>
          <w:p w14:paraId="11832D84">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1、对草坪、色块地被空隙地深翻20－25公分。为下阶段补植树木开塘。</w:t>
            </w:r>
          </w:p>
        </w:tc>
        <w:tc>
          <w:tcPr>
            <w:tcW w:w="0" w:type="auto"/>
            <w:noWrap w:val="0"/>
            <w:vAlign w:val="center"/>
          </w:tcPr>
          <w:p w14:paraId="0140092F">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丙、丁类区域除行道树与孤植景观树之外，不要求</w:t>
            </w:r>
          </w:p>
        </w:tc>
        <w:tc>
          <w:tcPr>
            <w:tcW w:w="0" w:type="auto"/>
            <w:vMerge w:val="continue"/>
            <w:noWrap w:val="0"/>
            <w:vAlign w:val="center"/>
          </w:tcPr>
          <w:p w14:paraId="0788FC1F">
            <w:pPr>
              <w:spacing w:line="240" w:lineRule="auto"/>
              <w:jc w:val="both"/>
              <w:rPr>
                <w:rFonts w:hint="eastAsia" w:ascii="宋体" w:hAnsi="宋体" w:eastAsia="宋体" w:cs="宋体"/>
                <w:kern w:val="2"/>
                <w:sz w:val="18"/>
                <w:szCs w:val="18"/>
                <w:highlight w:val="none"/>
              </w:rPr>
            </w:pPr>
          </w:p>
        </w:tc>
      </w:tr>
      <w:tr w14:paraId="71A83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5" w:hRule="atLeast"/>
        </w:trPr>
        <w:tc>
          <w:tcPr>
            <w:tcW w:w="0" w:type="auto"/>
            <w:vMerge w:val="continue"/>
            <w:noWrap w:val="0"/>
            <w:vAlign w:val="center"/>
          </w:tcPr>
          <w:p w14:paraId="43BA9872">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31EBA275">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5、绿地清理</w:t>
            </w:r>
          </w:p>
        </w:tc>
        <w:tc>
          <w:tcPr>
            <w:tcW w:w="5202" w:type="dxa"/>
            <w:noWrap w:val="0"/>
            <w:vAlign w:val="center"/>
          </w:tcPr>
          <w:p w14:paraId="489C957C">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1、清理死株、死苗、及形态差影响景观的半死半活的树木。　　　　　                                 2、及时清理绿地中杂物、杂草。</w:t>
            </w:r>
          </w:p>
        </w:tc>
        <w:tc>
          <w:tcPr>
            <w:tcW w:w="0" w:type="auto"/>
            <w:noWrap w:val="0"/>
            <w:vAlign w:val="center"/>
          </w:tcPr>
          <w:p w14:paraId="207ACA45">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1.绿地内杂物及时清理。　　　　　　                                2.专职巡查人员和养护人员加强巡查。                                           3.绿地范围内如有乱开挖和损坏绿地、苗木的案件（事件），24小时内及时报告。　　                                                        4.注意落叶绿化，防治绿化被野火烧毁。　　　　　　　                                                 5.及时检查行道树绑扎、立桩情况，发现松绑、铅丝嵌皮、摇桩等情况时立即整改。</w:t>
            </w:r>
          </w:p>
        </w:tc>
        <w:tc>
          <w:tcPr>
            <w:tcW w:w="0" w:type="auto"/>
            <w:vMerge w:val="continue"/>
            <w:noWrap w:val="0"/>
            <w:vAlign w:val="center"/>
          </w:tcPr>
          <w:p w14:paraId="34B151FC">
            <w:pPr>
              <w:spacing w:line="240" w:lineRule="auto"/>
              <w:jc w:val="both"/>
              <w:rPr>
                <w:rFonts w:hint="eastAsia" w:ascii="宋体" w:hAnsi="宋体" w:eastAsia="宋体" w:cs="宋体"/>
                <w:kern w:val="2"/>
                <w:sz w:val="18"/>
                <w:szCs w:val="18"/>
                <w:highlight w:val="none"/>
              </w:rPr>
            </w:pPr>
          </w:p>
        </w:tc>
      </w:tr>
      <w:tr w14:paraId="12B3F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trPr>
        <w:tc>
          <w:tcPr>
            <w:tcW w:w="0" w:type="auto"/>
            <w:vMerge w:val="restart"/>
            <w:noWrap w:val="0"/>
            <w:vAlign w:val="center"/>
          </w:tcPr>
          <w:p w14:paraId="2C6BF712">
            <w:pPr>
              <w:spacing w:line="240" w:lineRule="auto"/>
              <w:jc w:val="both"/>
              <w:rPr>
                <w:rFonts w:hint="eastAsia" w:ascii="宋体" w:hAnsi="宋体" w:eastAsia="宋体" w:cs="宋体"/>
                <w:b/>
                <w:bCs/>
                <w:kern w:val="2"/>
                <w:sz w:val="18"/>
                <w:szCs w:val="18"/>
                <w:highlight w:val="none"/>
              </w:rPr>
            </w:pPr>
            <w:r>
              <w:rPr>
                <w:rFonts w:hint="eastAsia" w:ascii="宋体" w:hAnsi="宋体" w:eastAsia="宋体" w:cs="宋体"/>
                <w:b/>
                <w:bCs/>
                <w:kern w:val="2"/>
                <w:sz w:val="18"/>
                <w:szCs w:val="18"/>
                <w:highlight w:val="none"/>
              </w:rPr>
              <w:t>二月</w:t>
            </w:r>
          </w:p>
        </w:tc>
        <w:tc>
          <w:tcPr>
            <w:tcW w:w="1206" w:type="dxa"/>
            <w:noWrap w:val="0"/>
            <w:vAlign w:val="center"/>
          </w:tcPr>
          <w:p w14:paraId="1E2ABD90">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lang w:val="en-US" w:eastAsia="zh-CN"/>
              </w:rPr>
              <w:t>1</w:t>
            </w:r>
            <w:r>
              <w:rPr>
                <w:rFonts w:hint="eastAsia" w:ascii="宋体" w:hAnsi="宋体" w:eastAsia="宋体" w:cs="宋体"/>
                <w:kern w:val="2"/>
                <w:sz w:val="18"/>
                <w:szCs w:val="18"/>
                <w:highlight w:val="none"/>
              </w:rPr>
              <w:t>、继续冬季修剪、深施基肥</w:t>
            </w:r>
          </w:p>
        </w:tc>
        <w:tc>
          <w:tcPr>
            <w:tcW w:w="5202" w:type="dxa"/>
            <w:noWrap w:val="0"/>
            <w:vAlign w:val="center"/>
          </w:tcPr>
          <w:p w14:paraId="2DBECE08">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1、对一月未完成地段按计划要求继续，要求同一月。</w:t>
            </w:r>
          </w:p>
        </w:tc>
        <w:tc>
          <w:tcPr>
            <w:tcW w:w="0" w:type="auto"/>
            <w:noWrap w:val="0"/>
            <w:vAlign w:val="center"/>
          </w:tcPr>
          <w:p w14:paraId="474F9E97">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fldChar w:fldCharType="begin"/>
            </w:r>
            <w:r>
              <w:rPr>
                <w:rFonts w:hint="eastAsia" w:ascii="宋体" w:hAnsi="宋体" w:eastAsia="宋体" w:cs="宋体"/>
                <w:kern w:val="2"/>
                <w:sz w:val="18"/>
                <w:szCs w:val="18"/>
                <w:highlight w:val="none"/>
              </w:rPr>
              <w:instrText xml:space="preserve"> HYPERLINK "http://www.gdlifang.com/product.aspx" </w:instrText>
            </w:r>
            <w:r>
              <w:rPr>
                <w:rFonts w:hint="eastAsia" w:ascii="宋体" w:hAnsi="宋体" w:eastAsia="宋体" w:cs="宋体"/>
                <w:kern w:val="2"/>
                <w:sz w:val="18"/>
                <w:szCs w:val="18"/>
                <w:highlight w:val="none"/>
              </w:rPr>
              <w:fldChar w:fldCharType="separate"/>
            </w:r>
            <w:r>
              <w:rPr>
                <w:rFonts w:hint="eastAsia" w:ascii="宋体" w:hAnsi="宋体" w:eastAsia="宋体" w:cs="宋体"/>
                <w:kern w:val="2"/>
                <w:sz w:val="18"/>
                <w:szCs w:val="18"/>
                <w:highlight w:val="none"/>
              </w:rPr>
              <w:t>继续对大小乔木的枯枝、病枝进行修剪。月底以前，各种树木修剪工作完成</w:t>
            </w:r>
            <w:r>
              <w:rPr>
                <w:rFonts w:hint="eastAsia" w:ascii="宋体" w:hAnsi="宋体" w:eastAsia="宋体" w:cs="宋体"/>
                <w:kern w:val="2"/>
                <w:sz w:val="18"/>
                <w:szCs w:val="18"/>
                <w:highlight w:val="none"/>
              </w:rPr>
              <w:fldChar w:fldCharType="end"/>
            </w:r>
          </w:p>
        </w:tc>
        <w:tc>
          <w:tcPr>
            <w:tcW w:w="0" w:type="auto"/>
            <w:vMerge w:val="restart"/>
            <w:noWrap w:val="0"/>
            <w:vAlign w:val="center"/>
          </w:tcPr>
          <w:p w14:paraId="5F44EB3D">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本月冬季养护工作的尾期，主要是冬季养护效果的检查及早春病虫害防治。</w:t>
            </w:r>
          </w:p>
        </w:tc>
      </w:tr>
      <w:tr w14:paraId="5A191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0" w:type="auto"/>
            <w:vMerge w:val="continue"/>
            <w:noWrap w:val="0"/>
            <w:vAlign w:val="center"/>
          </w:tcPr>
          <w:p w14:paraId="05A207CD">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4ADA0FD2">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2、防冻保暖</w:t>
            </w:r>
          </w:p>
        </w:tc>
        <w:tc>
          <w:tcPr>
            <w:tcW w:w="5202" w:type="dxa"/>
            <w:noWrap w:val="0"/>
            <w:vAlign w:val="center"/>
          </w:tcPr>
          <w:p w14:paraId="2C0837EB">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1、加强对防冻保暖措施的检查和加固。　　　                           　2、其它同一月。</w:t>
            </w:r>
          </w:p>
        </w:tc>
        <w:tc>
          <w:tcPr>
            <w:tcW w:w="0" w:type="auto"/>
            <w:noWrap w:val="0"/>
            <w:vAlign w:val="center"/>
          </w:tcPr>
          <w:p w14:paraId="5F0930B2">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同一月</w:t>
            </w:r>
          </w:p>
        </w:tc>
        <w:tc>
          <w:tcPr>
            <w:tcW w:w="0" w:type="auto"/>
            <w:vMerge w:val="continue"/>
            <w:noWrap w:val="0"/>
            <w:vAlign w:val="center"/>
          </w:tcPr>
          <w:p w14:paraId="45B63E80">
            <w:pPr>
              <w:spacing w:line="240" w:lineRule="auto"/>
              <w:jc w:val="both"/>
              <w:rPr>
                <w:rFonts w:hint="eastAsia" w:ascii="宋体" w:hAnsi="宋体" w:eastAsia="宋体" w:cs="宋体"/>
                <w:kern w:val="2"/>
                <w:sz w:val="18"/>
                <w:szCs w:val="18"/>
                <w:highlight w:val="none"/>
              </w:rPr>
            </w:pPr>
          </w:p>
        </w:tc>
      </w:tr>
      <w:tr w14:paraId="7C00C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noWrap w:val="0"/>
            <w:vAlign w:val="center"/>
          </w:tcPr>
          <w:p w14:paraId="45035547">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45F0FCB0">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3、绿地清理及其它</w:t>
            </w:r>
          </w:p>
        </w:tc>
        <w:tc>
          <w:tcPr>
            <w:tcW w:w="5202" w:type="dxa"/>
            <w:noWrap w:val="0"/>
            <w:vAlign w:val="center"/>
          </w:tcPr>
          <w:p w14:paraId="6FF2A841">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1、及时清除绿地杂物。                            </w:t>
            </w:r>
          </w:p>
          <w:p w14:paraId="7B062A91">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2、专职人员加强巡回检查，及时发现损坏绿地、苗木的案件，不属责职范围内的应及时报告。　　　　　　　　　　</w:t>
            </w:r>
          </w:p>
          <w:p w14:paraId="7DE5765D">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3、做好冬季防火工作。                          </w:t>
            </w:r>
          </w:p>
          <w:p w14:paraId="3B7C0D1D">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4、对行道树、单株乔木支撑或检查加固。</w:t>
            </w:r>
          </w:p>
        </w:tc>
        <w:tc>
          <w:tcPr>
            <w:tcW w:w="0" w:type="auto"/>
            <w:noWrap w:val="0"/>
            <w:vAlign w:val="center"/>
          </w:tcPr>
          <w:p w14:paraId="1465A377">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1.绿地内杂物及时清理。　　　　　　                                2.专职巡查人员和养护人员加强巡查。                                           3.绿地范围内如有乱开挖和损坏绿地、苗木的案件（事件），24小时内及时报告。　　                                                        4.注意落叶绿化，防治绿化被野火烧毁。　　　　　　　                                                 5.及时检查行道树绑扎、立桩情况，发现松绑、铅丝嵌皮、摇桩等情况时立即整改。</w:t>
            </w:r>
          </w:p>
        </w:tc>
        <w:tc>
          <w:tcPr>
            <w:tcW w:w="0" w:type="auto"/>
            <w:vMerge w:val="continue"/>
            <w:noWrap w:val="0"/>
            <w:vAlign w:val="center"/>
          </w:tcPr>
          <w:p w14:paraId="643B7B9D">
            <w:pPr>
              <w:spacing w:line="240" w:lineRule="auto"/>
              <w:jc w:val="both"/>
              <w:rPr>
                <w:rFonts w:hint="eastAsia" w:ascii="宋体" w:hAnsi="宋体" w:eastAsia="宋体" w:cs="宋体"/>
                <w:kern w:val="2"/>
                <w:sz w:val="18"/>
                <w:szCs w:val="18"/>
                <w:highlight w:val="none"/>
              </w:rPr>
            </w:pPr>
          </w:p>
        </w:tc>
      </w:tr>
      <w:tr w14:paraId="0667B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5" w:hRule="atLeast"/>
        </w:trPr>
        <w:tc>
          <w:tcPr>
            <w:tcW w:w="0" w:type="auto"/>
            <w:vMerge w:val="continue"/>
            <w:noWrap w:val="0"/>
            <w:vAlign w:val="center"/>
          </w:tcPr>
          <w:p w14:paraId="3C614A5C">
            <w:pPr>
              <w:spacing w:line="240" w:lineRule="auto"/>
              <w:jc w:val="both"/>
              <w:rPr>
                <w:rFonts w:hint="eastAsia" w:ascii="宋体" w:hAnsi="宋体" w:eastAsia="宋体" w:cs="宋体"/>
                <w:kern w:val="2"/>
                <w:sz w:val="18"/>
                <w:szCs w:val="18"/>
                <w:highlight w:val="none"/>
              </w:rPr>
            </w:pPr>
          </w:p>
        </w:tc>
        <w:tc>
          <w:tcPr>
            <w:tcW w:w="1206" w:type="dxa"/>
            <w:noWrap w:val="0"/>
            <w:vAlign w:val="center"/>
          </w:tcPr>
          <w:p w14:paraId="513B4B3E">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4、防除越冬虫害</w:t>
            </w:r>
          </w:p>
        </w:tc>
        <w:tc>
          <w:tcPr>
            <w:tcW w:w="5202" w:type="dxa"/>
            <w:noWrap w:val="0"/>
            <w:vAlign w:val="center"/>
          </w:tcPr>
          <w:p w14:paraId="68040D57">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1、消灭越冬虫包、虫茧和幼虫。　　　　　　                         　2、单株树木在主干1.3米处以下涂石灰液（浆）加盐刷白，做到涂布均匀，上缘平整。</w:t>
            </w:r>
          </w:p>
        </w:tc>
        <w:tc>
          <w:tcPr>
            <w:tcW w:w="0" w:type="auto"/>
            <w:noWrap w:val="0"/>
            <w:vAlign w:val="center"/>
          </w:tcPr>
          <w:p w14:paraId="4BCA05C2">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1.樟、桂花等植物叶片上有叶螨卵、成螨和若螨建议花保80倍液或中保杀螨3000倍液或者蛾螨灵1800倍液喷雾，半个月后再次喷杀；               </w:t>
            </w:r>
          </w:p>
          <w:p w14:paraId="5DB8C751">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2.其他病虫害：粉虱，樟木虱，草履蚧等蚧虫，蚜虫，重阳木斑蛾，黄杨绢野螟，栀子、樟、杜鹃等黄化病，大叶黄杨、桂花、山茶叶斑病、女贞炭疽病，月季黑斑病</w:t>
            </w:r>
          </w:p>
        </w:tc>
        <w:tc>
          <w:tcPr>
            <w:tcW w:w="0" w:type="auto"/>
            <w:vMerge w:val="continue"/>
            <w:noWrap w:val="0"/>
            <w:vAlign w:val="center"/>
          </w:tcPr>
          <w:p w14:paraId="2B59DEA6">
            <w:pPr>
              <w:spacing w:line="240" w:lineRule="auto"/>
              <w:jc w:val="both"/>
              <w:rPr>
                <w:rFonts w:hint="eastAsia" w:ascii="宋体" w:hAnsi="宋体" w:eastAsia="宋体" w:cs="宋体"/>
                <w:kern w:val="2"/>
                <w:sz w:val="18"/>
                <w:szCs w:val="18"/>
                <w:highlight w:val="none"/>
              </w:rPr>
            </w:pPr>
          </w:p>
        </w:tc>
      </w:tr>
      <w:tr w14:paraId="5EE9A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0" w:hRule="atLeast"/>
        </w:trPr>
        <w:tc>
          <w:tcPr>
            <w:tcW w:w="0" w:type="auto"/>
            <w:vMerge w:val="restart"/>
            <w:noWrap w:val="0"/>
            <w:vAlign w:val="center"/>
          </w:tcPr>
          <w:p w14:paraId="3CEA5509">
            <w:pPr>
              <w:spacing w:line="240" w:lineRule="auto"/>
              <w:jc w:val="both"/>
              <w:rPr>
                <w:rFonts w:hint="eastAsia" w:ascii="宋体" w:hAnsi="宋体" w:eastAsia="宋体" w:cs="宋体"/>
                <w:b/>
                <w:bCs/>
                <w:kern w:val="2"/>
                <w:sz w:val="18"/>
                <w:szCs w:val="18"/>
                <w:highlight w:val="none"/>
              </w:rPr>
            </w:pPr>
            <w:r>
              <w:rPr>
                <w:rFonts w:hint="eastAsia" w:ascii="宋体" w:hAnsi="宋体" w:eastAsia="宋体" w:cs="宋体"/>
                <w:b/>
                <w:bCs/>
                <w:kern w:val="2"/>
                <w:sz w:val="18"/>
                <w:szCs w:val="18"/>
                <w:highlight w:val="none"/>
              </w:rPr>
              <w:t>三月</w:t>
            </w:r>
          </w:p>
        </w:tc>
        <w:tc>
          <w:tcPr>
            <w:tcW w:w="1206" w:type="dxa"/>
            <w:noWrap w:val="0"/>
            <w:vAlign w:val="center"/>
          </w:tcPr>
          <w:p w14:paraId="024B9E95">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1、整形修剪</w:t>
            </w:r>
          </w:p>
        </w:tc>
        <w:tc>
          <w:tcPr>
            <w:tcW w:w="5202" w:type="dxa"/>
            <w:noWrap w:val="0"/>
            <w:vAlign w:val="center"/>
          </w:tcPr>
          <w:p w14:paraId="6FE267DD">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lang w:val="en-US" w:eastAsia="zh-CN"/>
              </w:rPr>
              <w:t>1</w:t>
            </w:r>
            <w:r>
              <w:rPr>
                <w:rFonts w:hint="eastAsia" w:ascii="宋体" w:hAnsi="宋体" w:eastAsia="宋体" w:cs="宋体"/>
                <w:kern w:val="2"/>
                <w:sz w:val="18"/>
                <w:szCs w:val="18"/>
                <w:highlight w:val="none"/>
              </w:rPr>
              <w:t xml:space="preserve">、花灌木、色块地被：清理死苗，修去病虫枝、徒长枝、过密枝、枯死枝及藤蔓寄生物，保持树形优美；安全措施符合规范要求。　　　　　　　　                                       </w:t>
            </w:r>
            <w:r>
              <w:rPr>
                <w:rFonts w:hint="eastAsia" w:ascii="宋体" w:hAnsi="宋体" w:eastAsia="宋体" w:cs="宋体"/>
                <w:kern w:val="2"/>
                <w:sz w:val="18"/>
                <w:szCs w:val="18"/>
                <w:highlight w:val="none"/>
                <w:lang w:val="en-US" w:eastAsia="zh-CN"/>
              </w:rPr>
              <w:t>2</w:t>
            </w:r>
            <w:r>
              <w:rPr>
                <w:rFonts w:hint="eastAsia" w:ascii="宋体" w:hAnsi="宋体" w:eastAsia="宋体" w:cs="宋体"/>
                <w:kern w:val="2"/>
                <w:sz w:val="18"/>
                <w:szCs w:val="18"/>
                <w:highlight w:val="none"/>
              </w:rPr>
              <w:t>、色块：保持整齐美观，修杂乱枝及藤蔓枯枝，做到线直面平。　　                                                        3、草坪适时修剪1－2次，保持草坪整齐美观。　　　　　　　　　　4、修剪物及时清理。</w:t>
            </w:r>
          </w:p>
        </w:tc>
        <w:tc>
          <w:tcPr>
            <w:tcW w:w="0" w:type="auto"/>
            <w:noWrap w:val="0"/>
            <w:vAlign w:val="center"/>
          </w:tcPr>
          <w:p w14:paraId="72E67E18">
            <w:pPr>
              <w:spacing w:line="240" w:lineRule="auto"/>
              <w:jc w:val="left"/>
              <w:rPr>
                <w:rFonts w:hint="eastAsia" w:ascii="宋体" w:hAnsi="宋体" w:eastAsia="宋体" w:cs="宋体"/>
                <w:kern w:val="2"/>
                <w:sz w:val="18"/>
                <w:szCs w:val="18"/>
                <w:highlight w:val="none"/>
                <w:lang w:eastAsia="zh-CN"/>
              </w:rPr>
            </w:pPr>
            <w:r>
              <w:rPr>
                <w:rFonts w:hint="eastAsia" w:ascii="宋体" w:hAnsi="宋体" w:eastAsia="宋体" w:cs="宋体"/>
                <w:kern w:val="2"/>
                <w:sz w:val="18"/>
                <w:szCs w:val="18"/>
                <w:highlight w:val="none"/>
              </w:rPr>
              <w:t xml:space="preserve">1.乔木主要修剪荫枝、下垂枝、干枯枝、侧缘线、下缘线以外枝，下缘线根据现场实际情况控制整齐，一般在1.8-2.5米。 </w:t>
            </w:r>
          </w:p>
          <w:p w14:paraId="39E0E520">
            <w:pPr>
              <w:spacing w:line="240" w:lineRule="auto"/>
              <w:jc w:val="left"/>
              <w:rPr>
                <w:rFonts w:hint="eastAsia" w:ascii="宋体" w:hAnsi="宋体" w:eastAsia="宋体" w:cs="宋体"/>
                <w:kern w:val="2"/>
                <w:sz w:val="18"/>
                <w:szCs w:val="18"/>
                <w:highlight w:val="none"/>
                <w:lang w:eastAsia="zh-CN"/>
              </w:rPr>
            </w:pPr>
            <w:r>
              <w:rPr>
                <w:rFonts w:hint="eastAsia" w:ascii="宋体" w:hAnsi="宋体" w:eastAsia="宋体" w:cs="宋体"/>
                <w:kern w:val="2"/>
                <w:sz w:val="18"/>
                <w:szCs w:val="18"/>
                <w:highlight w:val="none"/>
              </w:rPr>
              <w:t>2.开花植物应在花芽萌动前修剪干枯枝、冻伤枝。</w:t>
            </w:r>
          </w:p>
          <w:p w14:paraId="06441299">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3. 绿篱、板块该月根据生长情况修剪1次。                                                                                               4.草坪修剪一次，并将长出路牙的草去掉。</w:t>
            </w:r>
          </w:p>
        </w:tc>
        <w:tc>
          <w:tcPr>
            <w:tcW w:w="0" w:type="auto"/>
            <w:vMerge w:val="restart"/>
            <w:noWrap w:val="0"/>
            <w:vAlign w:val="center"/>
          </w:tcPr>
          <w:p w14:paraId="08216CEF">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本月养护工作重点是整形修剪。</w:t>
            </w:r>
          </w:p>
        </w:tc>
      </w:tr>
      <w:tr w14:paraId="7B46A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0" w:type="auto"/>
            <w:vMerge w:val="continue"/>
            <w:noWrap w:val="0"/>
            <w:vAlign w:val="center"/>
          </w:tcPr>
          <w:p w14:paraId="6AD1E061">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30BBEC96">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2、适时撤除防寒设施</w:t>
            </w:r>
          </w:p>
        </w:tc>
        <w:tc>
          <w:tcPr>
            <w:tcW w:w="5202" w:type="dxa"/>
            <w:noWrap w:val="0"/>
            <w:vAlign w:val="center"/>
          </w:tcPr>
          <w:p w14:paraId="23A4E9C5">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1、5日平均气温摄氏10度，寒潮已过适时撤除。</w:t>
            </w:r>
          </w:p>
        </w:tc>
        <w:tc>
          <w:tcPr>
            <w:tcW w:w="0" w:type="auto"/>
            <w:noWrap w:val="0"/>
            <w:vAlign w:val="center"/>
          </w:tcPr>
          <w:p w14:paraId="27E55A51">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根据当年实际温度操作</w:t>
            </w:r>
          </w:p>
        </w:tc>
        <w:tc>
          <w:tcPr>
            <w:tcW w:w="0" w:type="auto"/>
            <w:vMerge w:val="continue"/>
            <w:noWrap w:val="0"/>
            <w:vAlign w:val="center"/>
          </w:tcPr>
          <w:p w14:paraId="5E959805">
            <w:pPr>
              <w:spacing w:line="240" w:lineRule="auto"/>
              <w:jc w:val="both"/>
              <w:rPr>
                <w:rFonts w:hint="eastAsia" w:ascii="宋体" w:hAnsi="宋体" w:eastAsia="宋体" w:cs="宋体"/>
                <w:kern w:val="2"/>
                <w:sz w:val="18"/>
                <w:szCs w:val="18"/>
                <w:highlight w:val="none"/>
              </w:rPr>
            </w:pPr>
          </w:p>
        </w:tc>
      </w:tr>
      <w:tr w14:paraId="50BFE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5" w:hRule="atLeast"/>
        </w:trPr>
        <w:tc>
          <w:tcPr>
            <w:tcW w:w="0" w:type="auto"/>
            <w:vMerge w:val="continue"/>
            <w:noWrap w:val="0"/>
            <w:vAlign w:val="center"/>
          </w:tcPr>
          <w:p w14:paraId="66BBCE76">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33353859">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3、防病治虫（主要是早春发生的病虫害）</w:t>
            </w:r>
          </w:p>
        </w:tc>
        <w:tc>
          <w:tcPr>
            <w:tcW w:w="5202" w:type="dxa"/>
            <w:noWrap w:val="0"/>
            <w:vAlign w:val="center"/>
          </w:tcPr>
          <w:p w14:paraId="418CAAF6">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1、病虫害：主要是蚜虫、红蜘蛛、白粉病、煤污病等。　　　　　　　                                 2、对症下药，防治及时。　　　　　　　　　　     </w:t>
            </w:r>
          </w:p>
          <w:p w14:paraId="7DA4140E">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3、需设专职技术人员巡查。</w:t>
            </w:r>
          </w:p>
        </w:tc>
        <w:tc>
          <w:tcPr>
            <w:tcW w:w="0" w:type="auto"/>
            <w:noWrap w:val="0"/>
            <w:vAlign w:val="center"/>
          </w:tcPr>
          <w:p w14:paraId="5B518603">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草履蚧等蚧虫，黑刺粉虱，方翅网椿，重阳木斑蛾，黄杨绢野螟，叶螨，叶蝉，葱兰炭疽病，梨桧锈病</w:t>
            </w:r>
          </w:p>
        </w:tc>
        <w:tc>
          <w:tcPr>
            <w:tcW w:w="0" w:type="auto"/>
            <w:vMerge w:val="continue"/>
            <w:noWrap w:val="0"/>
            <w:vAlign w:val="center"/>
          </w:tcPr>
          <w:p w14:paraId="11E96DD8">
            <w:pPr>
              <w:spacing w:line="240" w:lineRule="auto"/>
              <w:jc w:val="both"/>
              <w:rPr>
                <w:rFonts w:hint="eastAsia" w:ascii="宋体" w:hAnsi="宋体" w:eastAsia="宋体" w:cs="宋体"/>
                <w:kern w:val="2"/>
                <w:sz w:val="18"/>
                <w:szCs w:val="18"/>
                <w:highlight w:val="none"/>
              </w:rPr>
            </w:pPr>
          </w:p>
        </w:tc>
      </w:tr>
      <w:tr w14:paraId="4E5FF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0" w:type="auto"/>
            <w:vMerge w:val="continue"/>
            <w:noWrap w:val="0"/>
            <w:vAlign w:val="center"/>
          </w:tcPr>
          <w:p w14:paraId="10CF3B89">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7DB021AE">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4、浇水</w:t>
            </w:r>
          </w:p>
        </w:tc>
        <w:tc>
          <w:tcPr>
            <w:tcW w:w="5202" w:type="dxa"/>
            <w:noWrap w:val="0"/>
            <w:vAlign w:val="center"/>
          </w:tcPr>
          <w:p w14:paraId="62771BDB">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1、根据天气情况适时浇水。</w:t>
            </w:r>
          </w:p>
        </w:tc>
        <w:tc>
          <w:tcPr>
            <w:tcW w:w="0" w:type="auto"/>
            <w:noWrap w:val="0"/>
            <w:vAlign w:val="center"/>
          </w:tcPr>
          <w:p w14:paraId="31F35BF8">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甲类、乙类养护区域绿化积水人工排除，积水时间不超过6小时。每次浇水浇湿土层在10cm以上。</w:t>
            </w:r>
          </w:p>
        </w:tc>
        <w:tc>
          <w:tcPr>
            <w:tcW w:w="0" w:type="auto"/>
            <w:vMerge w:val="continue"/>
            <w:noWrap w:val="0"/>
            <w:vAlign w:val="center"/>
          </w:tcPr>
          <w:p w14:paraId="5C2CF323">
            <w:pPr>
              <w:spacing w:line="240" w:lineRule="auto"/>
              <w:jc w:val="both"/>
              <w:rPr>
                <w:rFonts w:hint="eastAsia" w:ascii="宋体" w:hAnsi="宋体" w:eastAsia="宋体" w:cs="宋体"/>
                <w:kern w:val="2"/>
                <w:sz w:val="18"/>
                <w:szCs w:val="18"/>
                <w:highlight w:val="none"/>
              </w:rPr>
            </w:pPr>
          </w:p>
        </w:tc>
      </w:tr>
      <w:tr w14:paraId="19B35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0" w:type="auto"/>
            <w:vMerge w:val="continue"/>
            <w:noWrap w:val="0"/>
            <w:vAlign w:val="center"/>
          </w:tcPr>
          <w:p w14:paraId="69C3419B">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6C10D8D1">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5、除草和绿地清理</w:t>
            </w:r>
          </w:p>
        </w:tc>
        <w:tc>
          <w:tcPr>
            <w:tcW w:w="5202" w:type="dxa"/>
            <w:noWrap w:val="0"/>
            <w:vAlign w:val="center"/>
          </w:tcPr>
          <w:p w14:paraId="1230DE37">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1、坚持以防为主，综合防治。　　　　　　　　      </w:t>
            </w:r>
          </w:p>
          <w:p w14:paraId="60EA34BD">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2、及时清除杂草、杂物，保持绿地整洁。</w:t>
            </w:r>
          </w:p>
        </w:tc>
        <w:tc>
          <w:tcPr>
            <w:tcW w:w="0" w:type="auto"/>
            <w:noWrap w:val="0"/>
            <w:vAlign w:val="center"/>
          </w:tcPr>
          <w:p w14:paraId="65D48D27">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该月杂草需清除1-2次</w:t>
            </w:r>
          </w:p>
        </w:tc>
        <w:tc>
          <w:tcPr>
            <w:tcW w:w="0" w:type="auto"/>
            <w:vMerge w:val="continue"/>
            <w:noWrap w:val="0"/>
            <w:vAlign w:val="center"/>
          </w:tcPr>
          <w:p w14:paraId="2F71E841">
            <w:pPr>
              <w:spacing w:line="240" w:lineRule="auto"/>
              <w:jc w:val="both"/>
              <w:rPr>
                <w:rFonts w:hint="eastAsia" w:ascii="宋体" w:hAnsi="宋体" w:eastAsia="宋体" w:cs="宋体"/>
                <w:kern w:val="2"/>
                <w:sz w:val="18"/>
                <w:szCs w:val="18"/>
                <w:highlight w:val="none"/>
              </w:rPr>
            </w:pPr>
          </w:p>
        </w:tc>
      </w:tr>
      <w:tr w14:paraId="4BF48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trPr>
        <w:tc>
          <w:tcPr>
            <w:tcW w:w="0" w:type="auto"/>
            <w:vMerge w:val="continue"/>
            <w:noWrap w:val="0"/>
            <w:vAlign w:val="center"/>
          </w:tcPr>
          <w:p w14:paraId="1B773642">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2CFEB0CF">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6、其它</w:t>
            </w:r>
          </w:p>
        </w:tc>
        <w:tc>
          <w:tcPr>
            <w:tcW w:w="5202" w:type="dxa"/>
            <w:noWrap w:val="0"/>
            <w:vAlign w:val="center"/>
          </w:tcPr>
          <w:p w14:paraId="4C6E3062">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1、专职人员加强巡回检查，及时发现损坏绿地、苗木的案件，不属责职范围内的应及时报告。　　　　　　　　　　</w:t>
            </w:r>
          </w:p>
          <w:p w14:paraId="54541548">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2、对行道树、单株乔木支撑或检查加固。</w:t>
            </w:r>
          </w:p>
        </w:tc>
        <w:tc>
          <w:tcPr>
            <w:tcW w:w="0" w:type="auto"/>
            <w:noWrap w:val="0"/>
            <w:vAlign w:val="center"/>
          </w:tcPr>
          <w:p w14:paraId="785E230F">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1.专职巡查人员和养护人员加强巡查。                                           2.绿地范围内如有乱开挖和损坏绿地、苗木的案件（事件），24小时内及时报告。　　                                                        3.及时检查行道树绑扎、立桩情况，发现松绑、铅丝嵌皮、摇桩等情况时立即整改。</w:t>
            </w:r>
          </w:p>
        </w:tc>
        <w:tc>
          <w:tcPr>
            <w:tcW w:w="0" w:type="auto"/>
            <w:vMerge w:val="continue"/>
            <w:noWrap w:val="0"/>
            <w:vAlign w:val="center"/>
          </w:tcPr>
          <w:p w14:paraId="4EAA4BE9">
            <w:pPr>
              <w:spacing w:line="240" w:lineRule="auto"/>
              <w:jc w:val="both"/>
              <w:rPr>
                <w:rFonts w:hint="eastAsia" w:ascii="宋体" w:hAnsi="宋体" w:eastAsia="宋体" w:cs="宋体"/>
                <w:kern w:val="2"/>
                <w:sz w:val="18"/>
                <w:szCs w:val="18"/>
                <w:highlight w:val="none"/>
              </w:rPr>
            </w:pPr>
          </w:p>
        </w:tc>
      </w:tr>
      <w:tr w14:paraId="3A02C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5" w:hRule="atLeast"/>
        </w:trPr>
        <w:tc>
          <w:tcPr>
            <w:tcW w:w="0" w:type="auto"/>
            <w:vMerge w:val="restart"/>
            <w:noWrap w:val="0"/>
            <w:vAlign w:val="center"/>
          </w:tcPr>
          <w:p w14:paraId="3994AE9E">
            <w:pPr>
              <w:spacing w:line="240" w:lineRule="auto"/>
              <w:jc w:val="both"/>
              <w:rPr>
                <w:rFonts w:hint="eastAsia" w:ascii="宋体" w:hAnsi="宋体" w:eastAsia="宋体" w:cs="宋体"/>
                <w:b/>
                <w:bCs/>
                <w:kern w:val="2"/>
                <w:sz w:val="18"/>
                <w:szCs w:val="18"/>
                <w:highlight w:val="none"/>
              </w:rPr>
            </w:pPr>
            <w:r>
              <w:rPr>
                <w:rFonts w:hint="eastAsia" w:ascii="宋体" w:hAnsi="宋体" w:eastAsia="宋体" w:cs="宋体"/>
                <w:b/>
                <w:bCs/>
                <w:kern w:val="2"/>
                <w:sz w:val="18"/>
                <w:szCs w:val="18"/>
                <w:highlight w:val="none"/>
              </w:rPr>
              <w:t>四月</w:t>
            </w:r>
          </w:p>
        </w:tc>
        <w:tc>
          <w:tcPr>
            <w:tcW w:w="1206" w:type="dxa"/>
            <w:noWrap w:val="0"/>
            <w:vAlign w:val="center"/>
          </w:tcPr>
          <w:p w14:paraId="1333C688">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1、整形修剪（每月2次）</w:t>
            </w:r>
          </w:p>
        </w:tc>
        <w:tc>
          <w:tcPr>
            <w:tcW w:w="5202" w:type="dxa"/>
            <w:noWrap w:val="0"/>
            <w:vAlign w:val="center"/>
          </w:tcPr>
          <w:p w14:paraId="01DA1A07">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lang w:val="en-US" w:eastAsia="zh-CN"/>
              </w:rPr>
              <w:t>1</w:t>
            </w:r>
            <w:r>
              <w:rPr>
                <w:rFonts w:hint="eastAsia" w:ascii="宋体" w:hAnsi="宋体" w:eastAsia="宋体" w:cs="宋体"/>
                <w:kern w:val="2"/>
                <w:sz w:val="18"/>
                <w:szCs w:val="18"/>
                <w:highlight w:val="none"/>
              </w:rPr>
              <w:t>、花灌木、色块地被：清理死苗，修去病虫枝、徒长枝、过密枝、枯死枝、萌芽技及藤蔓寄生物，保持树形优美；安全措施符合规范要求。　　　　　　　     　</w:t>
            </w:r>
          </w:p>
          <w:p w14:paraId="7717E780">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lang w:val="en-US" w:eastAsia="zh-CN"/>
              </w:rPr>
              <w:t>2</w:t>
            </w:r>
            <w:r>
              <w:rPr>
                <w:rFonts w:hint="eastAsia" w:ascii="宋体" w:hAnsi="宋体" w:eastAsia="宋体" w:cs="宋体"/>
                <w:kern w:val="2"/>
                <w:sz w:val="18"/>
                <w:szCs w:val="18"/>
                <w:highlight w:val="none"/>
              </w:rPr>
              <w:t xml:space="preserve">、色块：保持整齐美观，修杂乱枝及藤蔓枯枝，做到线直面平。　                                                              　3、草坪适时修剪2－3次。　　　　　　　　　　      </w:t>
            </w:r>
          </w:p>
          <w:p w14:paraId="6AD66E9C">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4、修剪物及时清理。</w:t>
            </w:r>
          </w:p>
        </w:tc>
        <w:tc>
          <w:tcPr>
            <w:tcW w:w="0" w:type="auto"/>
            <w:noWrap w:val="0"/>
            <w:vAlign w:val="center"/>
          </w:tcPr>
          <w:p w14:paraId="209C5D06">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1.乔木主要修剪荫枝、下垂枝、干枯枝、侧缘线、下缘线以外枝，下缘线要控制在1.8-2.5米。                                                                          2.花木剥萌蘖芽。</w:t>
            </w:r>
          </w:p>
        </w:tc>
        <w:tc>
          <w:tcPr>
            <w:tcW w:w="0" w:type="auto"/>
            <w:vMerge w:val="restart"/>
            <w:noWrap w:val="0"/>
            <w:vAlign w:val="center"/>
          </w:tcPr>
          <w:p w14:paraId="0B56FF76">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本月养护工作重点是防病治虫和除草。</w:t>
            </w:r>
          </w:p>
        </w:tc>
      </w:tr>
      <w:tr w14:paraId="4FEC4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3" w:hRule="atLeast"/>
        </w:trPr>
        <w:tc>
          <w:tcPr>
            <w:tcW w:w="0" w:type="auto"/>
            <w:vMerge w:val="continue"/>
            <w:noWrap w:val="0"/>
            <w:vAlign w:val="center"/>
          </w:tcPr>
          <w:p w14:paraId="22AF5950">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74CF1AFB">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2、防病治虫（全年防病治虫关键月）</w:t>
            </w:r>
          </w:p>
        </w:tc>
        <w:tc>
          <w:tcPr>
            <w:tcW w:w="5202" w:type="dxa"/>
            <w:noWrap w:val="0"/>
            <w:vAlign w:val="center"/>
          </w:tcPr>
          <w:p w14:paraId="72FF0F7E">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1、每15天喷药防治一次，最大限度地控制病虫基数　　　　　　　2、病虫害：主要是锈病、炭疽病，白粉病、叶斑病、蚜虫、红蜘蛛、柳毒蛾、天幕毛虫、蚧壳虫、天牛等。　　　　　　                 　3、对症下药，防治及时。　　　　　　　　　　      </w:t>
            </w:r>
          </w:p>
          <w:p w14:paraId="5EF86E4A">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4、需设专职技术人员巡查。</w:t>
            </w:r>
          </w:p>
        </w:tc>
        <w:tc>
          <w:tcPr>
            <w:tcW w:w="0" w:type="auto"/>
            <w:noWrap w:val="0"/>
            <w:vAlign w:val="center"/>
          </w:tcPr>
          <w:p w14:paraId="2AFDE964">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1.蚧壳虫在第二次蜕皮后陆续转移到树皮裂缝内、树洞、树干基部、墙角等处分泌白色蜡质薄茧化蛹。可以用硬竹扫帚扫除，然后集中深埋或浸泡。或者采用喷洒杀螟松等农药的方法                                     </w:t>
            </w:r>
          </w:p>
          <w:p w14:paraId="63DB8AB7">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2.天牛、木蠹蛾开始活动了，可以采用嫁接刀或自制钢丝挑除幼虫，但是伤口要做到越小越好                                                          3.月季黑斑病 喷灭菌成或烯唑醇2000倍液，10天左右喷一次。                   </w:t>
            </w:r>
          </w:p>
          <w:p w14:paraId="34D6B6CE">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4.柳叶甲、金叶女贞潜叶跳甲 成虫开始活动 用苦烟乳油1000倍液喷杀。 5.其他病虫害 叶蝉、白粉病、葱兰炭疽病、大叶黄杨斑蛾</w:t>
            </w:r>
          </w:p>
        </w:tc>
        <w:tc>
          <w:tcPr>
            <w:tcW w:w="0" w:type="auto"/>
            <w:vMerge w:val="continue"/>
            <w:noWrap w:val="0"/>
            <w:vAlign w:val="center"/>
          </w:tcPr>
          <w:p w14:paraId="4F6AB13A">
            <w:pPr>
              <w:spacing w:line="240" w:lineRule="auto"/>
              <w:jc w:val="both"/>
              <w:rPr>
                <w:rFonts w:hint="eastAsia" w:ascii="宋体" w:hAnsi="宋体" w:eastAsia="宋体" w:cs="宋体"/>
                <w:kern w:val="2"/>
                <w:sz w:val="18"/>
                <w:szCs w:val="18"/>
                <w:highlight w:val="none"/>
              </w:rPr>
            </w:pPr>
          </w:p>
        </w:tc>
      </w:tr>
      <w:tr w14:paraId="42B92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0" w:type="auto"/>
            <w:vMerge w:val="continue"/>
            <w:noWrap w:val="0"/>
            <w:vAlign w:val="center"/>
          </w:tcPr>
          <w:p w14:paraId="1114CB0E">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0EC50929">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3、抗旱排涝</w:t>
            </w:r>
          </w:p>
        </w:tc>
        <w:tc>
          <w:tcPr>
            <w:tcW w:w="5202" w:type="dxa"/>
            <w:noWrap w:val="0"/>
            <w:vAlign w:val="center"/>
          </w:tcPr>
          <w:p w14:paraId="3F703EB0">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1、根据天气情况适时浇水或排除积水。</w:t>
            </w:r>
          </w:p>
        </w:tc>
        <w:tc>
          <w:tcPr>
            <w:tcW w:w="0" w:type="auto"/>
            <w:noWrap w:val="0"/>
            <w:vAlign w:val="center"/>
          </w:tcPr>
          <w:p w14:paraId="6E871A79">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甲、乙类养护区域绿化积水人工排除，积水时间不超过6小时。每次浇水浇湿土层在10cm以上。</w:t>
            </w:r>
          </w:p>
        </w:tc>
        <w:tc>
          <w:tcPr>
            <w:tcW w:w="0" w:type="auto"/>
            <w:vMerge w:val="continue"/>
            <w:noWrap w:val="0"/>
            <w:vAlign w:val="center"/>
          </w:tcPr>
          <w:p w14:paraId="709852D1">
            <w:pPr>
              <w:spacing w:line="240" w:lineRule="auto"/>
              <w:jc w:val="both"/>
              <w:rPr>
                <w:rFonts w:hint="eastAsia" w:ascii="宋体" w:hAnsi="宋体" w:eastAsia="宋体" w:cs="宋体"/>
                <w:kern w:val="2"/>
                <w:sz w:val="18"/>
                <w:szCs w:val="18"/>
                <w:highlight w:val="none"/>
              </w:rPr>
            </w:pPr>
          </w:p>
        </w:tc>
      </w:tr>
      <w:tr w14:paraId="07E75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0" w:type="auto"/>
            <w:vMerge w:val="continue"/>
            <w:noWrap w:val="0"/>
            <w:vAlign w:val="center"/>
          </w:tcPr>
          <w:p w14:paraId="34527121">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59D2A69A">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4、杂草防除</w:t>
            </w:r>
          </w:p>
        </w:tc>
        <w:tc>
          <w:tcPr>
            <w:tcW w:w="5202" w:type="dxa"/>
            <w:noWrap w:val="0"/>
            <w:vAlign w:val="center"/>
          </w:tcPr>
          <w:p w14:paraId="3D8D844D">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1、坚持以防为主，综合防治。　　　　　　　　     </w:t>
            </w:r>
          </w:p>
          <w:p w14:paraId="0E45DE21">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2、及时清除杂草、杂物，保持绿地整洁。　　                          3、人工除草15天一次。</w:t>
            </w:r>
          </w:p>
        </w:tc>
        <w:tc>
          <w:tcPr>
            <w:tcW w:w="0" w:type="auto"/>
            <w:noWrap w:val="0"/>
            <w:vAlign w:val="center"/>
          </w:tcPr>
          <w:p w14:paraId="7B4BDD47">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甲乙类区域杂草随张随清，其他区域各类杂草每10—15天清除一次</w:t>
            </w:r>
          </w:p>
        </w:tc>
        <w:tc>
          <w:tcPr>
            <w:tcW w:w="0" w:type="auto"/>
            <w:vMerge w:val="continue"/>
            <w:noWrap w:val="0"/>
            <w:vAlign w:val="center"/>
          </w:tcPr>
          <w:p w14:paraId="484B2285">
            <w:pPr>
              <w:spacing w:line="240" w:lineRule="auto"/>
              <w:jc w:val="both"/>
              <w:rPr>
                <w:rFonts w:hint="eastAsia" w:ascii="宋体" w:hAnsi="宋体" w:eastAsia="宋体" w:cs="宋体"/>
                <w:kern w:val="2"/>
                <w:sz w:val="18"/>
                <w:szCs w:val="18"/>
                <w:highlight w:val="none"/>
              </w:rPr>
            </w:pPr>
          </w:p>
        </w:tc>
      </w:tr>
      <w:tr w14:paraId="768DC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0" w:type="auto"/>
            <w:vMerge w:val="continue"/>
            <w:noWrap w:val="0"/>
            <w:vAlign w:val="center"/>
          </w:tcPr>
          <w:p w14:paraId="601D06D8">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0600C719">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5、其它</w:t>
            </w:r>
          </w:p>
        </w:tc>
        <w:tc>
          <w:tcPr>
            <w:tcW w:w="5202" w:type="dxa"/>
            <w:noWrap w:val="0"/>
            <w:vAlign w:val="center"/>
          </w:tcPr>
          <w:p w14:paraId="2A5151EE">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1、及时清除绿地杂物。                                             2、专职人员加强巡回检查，及时发现损坏绿地、苗木的案件，不属责职范围内的应及时报告。　　　　　　　　　　</w:t>
            </w:r>
          </w:p>
          <w:p w14:paraId="1EAE03DA">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3、对行道树、单株乔木支撑或检查加固。</w:t>
            </w:r>
          </w:p>
        </w:tc>
        <w:tc>
          <w:tcPr>
            <w:tcW w:w="0" w:type="auto"/>
            <w:noWrap w:val="0"/>
            <w:vAlign w:val="center"/>
          </w:tcPr>
          <w:p w14:paraId="4E8BAD8A">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1、专职巡查人员和养护人员加强巡查。                                           2、绿地范围内如有乱开挖和损坏绿地、苗木的案件（事件），24小时内及时报告。　　                                                      3、及时检查行道树绑扎、立桩情况，发现松绑、铅丝嵌皮、摇桩等情况时立即整改。</w:t>
            </w:r>
          </w:p>
        </w:tc>
        <w:tc>
          <w:tcPr>
            <w:tcW w:w="0" w:type="auto"/>
            <w:vMerge w:val="continue"/>
            <w:noWrap w:val="0"/>
            <w:vAlign w:val="center"/>
          </w:tcPr>
          <w:p w14:paraId="30700301">
            <w:pPr>
              <w:spacing w:line="240" w:lineRule="auto"/>
              <w:jc w:val="both"/>
              <w:rPr>
                <w:rFonts w:hint="eastAsia" w:ascii="宋体" w:hAnsi="宋体" w:eastAsia="宋体" w:cs="宋体"/>
                <w:kern w:val="2"/>
                <w:sz w:val="18"/>
                <w:szCs w:val="18"/>
                <w:highlight w:val="none"/>
              </w:rPr>
            </w:pPr>
          </w:p>
        </w:tc>
      </w:tr>
      <w:tr w14:paraId="42BEC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0" w:type="auto"/>
            <w:vMerge w:val="restart"/>
            <w:noWrap w:val="0"/>
            <w:vAlign w:val="center"/>
          </w:tcPr>
          <w:p w14:paraId="4297C7C6">
            <w:pPr>
              <w:spacing w:line="240" w:lineRule="auto"/>
              <w:jc w:val="both"/>
              <w:rPr>
                <w:rFonts w:hint="eastAsia" w:ascii="宋体" w:hAnsi="宋体" w:eastAsia="宋体" w:cs="宋体"/>
                <w:b/>
                <w:bCs/>
                <w:kern w:val="2"/>
                <w:sz w:val="18"/>
                <w:szCs w:val="18"/>
                <w:highlight w:val="none"/>
              </w:rPr>
            </w:pPr>
            <w:r>
              <w:rPr>
                <w:rFonts w:hint="eastAsia" w:ascii="宋体" w:hAnsi="宋体" w:eastAsia="宋体" w:cs="宋体"/>
                <w:b/>
                <w:bCs/>
                <w:kern w:val="2"/>
                <w:sz w:val="18"/>
                <w:szCs w:val="18"/>
                <w:highlight w:val="none"/>
              </w:rPr>
              <w:t>五月</w:t>
            </w:r>
          </w:p>
        </w:tc>
        <w:tc>
          <w:tcPr>
            <w:tcW w:w="1206" w:type="dxa"/>
            <w:noWrap w:val="0"/>
            <w:vAlign w:val="center"/>
          </w:tcPr>
          <w:p w14:paraId="4DE00196">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1、整形修剪（每月2次）</w:t>
            </w:r>
          </w:p>
        </w:tc>
        <w:tc>
          <w:tcPr>
            <w:tcW w:w="5202" w:type="dxa"/>
            <w:noWrap w:val="0"/>
            <w:vAlign w:val="center"/>
          </w:tcPr>
          <w:p w14:paraId="1C06FD7B">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lang w:val="en-US" w:eastAsia="zh-CN"/>
              </w:rPr>
              <w:t>1</w:t>
            </w:r>
            <w:r>
              <w:rPr>
                <w:rFonts w:hint="eastAsia" w:ascii="宋体" w:hAnsi="宋体" w:eastAsia="宋体" w:cs="宋体"/>
                <w:kern w:val="2"/>
                <w:sz w:val="18"/>
                <w:szCs w:val="18"/>
                <w:highlight w:val="none"/>
              </w:rPr>
              <w:t>、花灌木、色块地被：清理死苗，修去病虫枝、徒长枝、过密枝、枯死枝、萌芽枝、花后植物的花梗及藤蔓寄生物，保持树形优美；安全措施符合规范要求。　　　　　　　　　</w:t>
            </w:r>
          </w:p>
          <w:p w14:paraId="19EC5FD2">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lang w:val="en-US" w:eastAsia="zh-CN"/>
              </w:rPr>
              <w:t>2</w:t>
            </w:r>
            <w:r>
              <w:rPr>
                <w:rFonts w:hint="eastAsia" w:ascii="宋体" w:hAnsi="宋体" w:eastAsia="宋体" w:cs="宋体"/>
                <w:kern w:val="2"/>
                <w:sz w:val="18"/>
                <w:szCs w:val="18"/>
                <w:highlight w:val="none"/>
              </w:rPr>
              <w:t xml:space="preserve">、色块：保持整齐美观，修杂乱枝及藤蔓枯枝，做到线直面平。　　                                                        3、草坪适时修剪2次。　                          </w:t>
            </w:r>
          </w:p>
          <w:p w14:paraId="5E656323">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4、修剪物及时清理。</w:t>
            </w:r>
          </w:p>
        </w:tc>
        <w:tc>
          <w:tcPr>
            <w:tcW w:w="0" w:type="auto"/>
            <w:noWrap w:val="0"/>
            <w:vAlign w:val="center"/>
          </w:tcPr>
          <w:p w14:paraId="16D64BB2">
            <w:pPr>
              <w:spacing w:line="240" w:lineRule="auto"/>
              <w:jc w:val="left"/>
              <w:rPr>
                <w:rFonts w:hint="eastAsia" w:ascii="宋体" w:hAnsi="宋体" w:eastAsia="宋体" w:cs="宋体"/>
                <w:kern w:val="2"/>
                <w:sz w:val="18"/>
                <w:szCs w:val="18"/>
                <w:highlight w:val="none"/>
                <w:lang w:eastAsia="zh-CN"/>
              </w:rPr>
            </w:pPr>
            <w:r>
              <w:rPr>
                <w:rFonts w:hint="eastAsia" w:ascii="宋体" w:hAnsi="宋体" w:eastAsia="宋体" w:cs="宋体"/>
                <w:kern w:val="2"/>
                <w:sz w:val="18"/>
                <w:szCs w:val="18"/>
                <w:highlight w:val="none"/>
              </w:rPr>
              <w:t xml:space="preserve">1.乔木剥芽修剪。                                                                          2.花木剥萌蘖芽。 </w:t>
            </w:r>
          </w:p>
          <w:p w14:paraId="342E2076">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3.所有区域绿篱、板块、草坪等该月根据生长情况修剪2次。</w:t>
            </w:r>
          </w:p>
        </w:tc>
        <w:tc>
          <w:tcPr>
            <w:tcW w:w="0" w:type="auto"/>
            <w:vMerge w:val="restart"/>
            <w:noWrap w:val="0"/>
            <w:vAlign w:val="center"/>
          </w:tcPr>
          <w:p w14:paraId="3CEEF249">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本月养护工作重点是除草、病虫害防治和整形修剪</w:t>
            </w:r>
          </w:p>
        </w:tc>
      </w:tr>
      <w:tr w14:paraId="4E619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0" w:hRule="atLeast"/>
        </w:trPr>
        <w:tc>
          <w:tcPr>
            <w:tcW w:w="0" w:type="auto"/>
            <w:vMerge w:val="continue"/>
            <w:noWrap w:val="0"/>
            <w:vAlign w:val="center"/>
          </w:tcPr>
          <w:p w14:paraId="09A5EECD">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34CDC6B4">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2、防病治虫</w:t>
            </w:r>
          </w:p>
        </w:tc>
        <w:tc>
          <w:tcPr>
            <w:tcW w:w="5202" w:type="dxa"/>
            <w:noWrap w:val="0"/>
            <w:vAlign w:val="center"/>
          </w:tcPr>
          <w:p w14:paraId="51ED93EC">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1、每15天喷药防治一次，最大限度地控制病虫基数　　　　　　　2、病虫害：主要是黑斑病、白粉病、叶斑病、红蜘蛛、金龟子、蚧壳虫、地老虎等。　　　　　　　</w:t>
            </w:r>
          </w:p>
          <w:p w14:paraId="3E148297">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2、对症下药，防治及时。　　　　　　　　　　</w:t>
            </w:r>
          </w:p>
          <w:p w14:paraId="2FE01AF5">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3、需设专职技术人员巡查。</w:t>
            </w:r>
          </w:p>
        </w:tc>
        <w:tc>
          <w:tcPr>
            <w:tcW w:w="0" w:type="auto"/>
            <w:noWrap w:val="0"/>
            <w:vAlign w:val="center"/>
          </w:tcPr>
          <w:p w14:paraId="611662AC">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1.蚜虫危害在栾树、香樟、红叶李、月季、海桐、杜鹃、栀子、樱花、木槿、慈孝竹等植物嫩梢上大面积发生，用花保100倍液防治。                                       2.继续捕捉天牛、蠹蛾；灯光诱杀金龟子。                                                  3.刺蛾第一代孵化，但尚未达到危害程度，根据养护区内的实际情况做出相应措施。                                                         3.由蚧壳虫、蚜虫等引起的煤污病也进入了盛发期（在紫薇、海桐、夹竹桃等上），在5月中、下旬喷洒10—20倍的松脂合剂及50%三硫磷乳剂1500—2000倍液以防治病害及杀死虫害。（其它可用杀虫素、花保等农药）</w:t>
            </w:r>
          </w:p>
        </w:tc>
        <w:tc>
          <w:tcPr>
            <w:tcW w:w="0" w:type="auto"/>
            <w:vMerge w:val="continue"/>
            <w:noWrap w:val="0"/>
            <w:vAlign w:val="center"/>
          </w:tcPr>
          <w:p w14:paraId="58856D70">
            <w:pPr>
              <w:spacing w:line="240" w:lineRule="auto"/>
              <w:jc w:val="both"/>
              <w:rPr>
                <w:rFonts w:hint="eastAsia" w:ascii="宋体" w:hAnsi="宋体" w:eastAsia="宋体" w:cs="宋体"/>
                <w:kern w:val="2"/>
                <w:sz w:val="18"/>
                <w:szCs w:val="18"/>
                <w:highlight w:val="none"/>
              </w:rPr>
            </w:pPr>
          </w:p>
        </w:tc>
      </w:tr>
      <w:tr w14:paraId="15020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0" w:type="auto"/>
            <w:vMerge w:val="continue"/>
            <w:noWrap w:val="0"/>
            <w:vAlign w:val="center"/>
          </w:tcPr>
          <w:p w14:paraId="41BA1A74">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7247CDD4">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3、抗旱排涝</w:t>
            </w:r>
          </w:p>
        </w:tc>
        <w:tc>
          <w:tcPr>
            <w:tcW w:w="5202" w:type="dxa"/>
            <w:noWrap w:val="0"/>
            <w:vAlign w:val="center"/>
          </w:tcPr>
          <w:p w14:paraId="31ABD265">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1、根据天气情况适时浇水或排除绿地、树坑基部积水。</w:t>
            </w:r>
          </w:p>
        </w:tc>
        <w:tc>
          <w:tcPr>
            <w:tcW w:w="0" w:type="auto"/>
            <w:noWrap w:val="0"/>
            <w:vAlign w:val="center"/>
          </w:tcPr>
          <w:p w14:paraId="45E2E5BB">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甲乙类养护区域绿化积水人工排除，积水时间不超过6小时。每次浇水浇湿土层在10cm以上。</w:t>
            </w:r>
          </w:p>
        </w:tc>
        <w:tc>
          <w:tcPr>
            <w:tcW w:w="0" w:type="auto"/>
            <w:vMerge w:val="continue"/>
            <w:noWrap w:val="0"/>
            <w:vAlign w:val="center"/>
          </w:tcPr>
          <w:p w14:paraId="4E2DB8DE">
            <w:pPr>
              <w:spacing w:line="240" w:lineRule="auto"/>
              <w:jc w:val="both"/>
              <w:rPr>
                <w:rFonts w:hint="eastAsia" w:ascii="宋体" w:hAnsi="宋体" w:eastAsia="宋体" w:cs="宋体"/>
                <w:kern w:val="2"/>
                <w:sz w:val="18"/>
                <w:szCs w:val="18"/>
                <w:highlight w:val="none"/>
              </w:rPr>
            </w:pPr>
          </w:p>
        </w:tc>
      </w:tr>
      <w:tr w14:paraId="2741C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0" w:type="auto"/>
            <w:vMerge w:val="continue"/>
            <w:noWrap w:val="0"/>
            <w:vAlign w:val="center"/>
          </w:tcPr>
          <w:p w14:paraId="6298394A">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0353E7D5">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4、杂草防除</w:t>
            </w:r>
          </w:p>
        </w:tc>
        <w:tc>
          <w:tcPr>
            <w:tcW w:w="5202" w:type="dxa"/>
            <w:noWrap w:val="0"/>
            <w:vAlign w:val="center"/>
          </w:tcPr>
          <w:p w14:paraId="3B59AF1F">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1、坚持以防为主，综合防治。　　　　　　　      　</w:t>
            </w:r>
          </w:p>
          <w:p w14:paraId="66DCA53C">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2、及时清除杂草、杂物，保持绿地整洁。　　                              3、人工除草10天左右一次。</w:t>
            </w:r>
          </w:p>
        </w:tc>
        <w:tc>
          <w:tcPr>
            <w:tcW w:w="0" w:type="auto"/>
            <w:noWrap w:val="0"/>
            <w:vAlign w:val="center"/>
          </w:tcPr>
          <w:p w14:paraId="63BFFB37">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甲乙类区域杂草随张随清，各类杂草每10—15天清除一次</w:t>
            </w:r>
          </w:p>
        </w:tc>
        <w:tc>
          <w:tcPr>
            <w:tcW w:w="0" w:type="auto"/>
            <w:vMerge w:val="continue"/>
            <w:noWrap w:val="0"/>
            <w:vAlign w:val="center"/>
          </w:tcPr>
          <w:p w14:paraId="1B4F66E3">
            <w:pPr>
              <w:spacing w:line="240" w:lineRule="auto"/>
              <w:jc w:val="both"/>
              <w:rPr>
                <w:rFonts w:hint="eastAsia" w:ascii="宋体" w:hAnsi="宋体" w:eastAsia="宋体" w:cs="宋体"/>
                <w:kern w:val="2"/>
                <w:sz w:val="18"/>
                <w:szCs w:val="18"/>
                <w:highlight w:val="none"/>
              </w:rPr>
            </w:pPr>
          </w:p>
        </w:tc>
      </w:tr>
      <w:tr w14:paraId="59AED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0" w:hRule="atLeast"/>
        </w:trPr>
        <w:tc>
          <w:tcPr>
            <w:tcW w:w="0" w:type="auto"/>
            <w:vMerge w:val="continue"/>
            <w:noWrap w:val="0"/>
            <w:vAlign w:val="center"/>
          </w:tcPr>
          <w:p w14:paraId="5F6F9731">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7A22C10A">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5、其它</w:t>
            </w:r>
          </w:p>
        </w:tc>
        <w:tc>
          <w:tcPr>
            <w:tcW w:w="5202" w:type="dxa"/>
            <w:noWrap w:val="0"/>
            <w:vAlign w:val="center"/>
          </w:tcPr>
          <w:p w14:paraId="109BF27C">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1、及时清除绿地杂物。                           </w:t>
            </w:r>
          </w:p>
          <w:p w14:paraId="55A908A8">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2、专职人员加强巡回检查，及时发现损坏绿地、苗木的案件，不属责职范围内的应及时报告。　　　　　　　　　　　　                           3、对行道树、单株乔木支撑或检查加固。</w:t>
            </w:r>
          </w:p>
        </w:tc>
        <w:tc>
          <w:tcPr>
            <w:tcW w:w="0" w:type="auto"/>
            <w:noWrap w:val="0"/>
            <w:vAlign w:val="center"/>
          </w:tcPr>
          <w:p w14:paraId="73DD4612">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1、专职巡查人员和养护人员加强巡查。                                           2、绿地范围内如有乱开挖和损坏绿地、苗木的案件（事件），24小时内及时报告。　　                                                      3、及时检查行道树绑扎、立桩情况，发现松绑、铅丝嵌皮、摇桩等情况时立即整改。　　                                                    </w:t>
            </w:r>
          </w:p>
        </w:tc>
        <w:tc>
          <w:tcPr>
            <w:tcW w:w="0" w:type="auto"/>
            <w:vMerge w:val="continue"/>
            <w:noWrap w:val="0"/>
            <w:vAlign w:val="center"/>
          </w:tcPr>
          <w:p w14:paraId="76B4744B">
            <w:pPr>
              <w:spacing w:line="240" w:lineRule="auto"/>
              <w:jc w:val="both"/>
              <w:rPr>
                <w:rFonts w:hint="eastAsia" w:ascii="宋体" w:hAnsi="宋体" w:eastAsia="宋体" w:cs="宋体"/>
                <w:kern w:val="2"/>
                <w:sz w:val="18"/>
                <w:szCs w:val="18"/>
                <w:highlight w:val="none"/>
              </w:rPr>
            </w:pPr>
          </w:p>
        </w:tc>
      </w:tr>
      <w:tr w14:paraId="75BD6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0" w:hRule="atLeast"/>
        </w:trPr>
        <w:tc>
          <w:tcPr>
            <w:tcW w:w="0" w:type="auto"/>
            <w:vMerge w:val="restart"/>
            <w:noWrap w:val="0"/>
            <w:vAlign w:val="center"/>
          </w:tcPr>
          <w:p w14:paraId="42C6D128">
            <w:pPr>
              <w:spacing w:line="240" w:lineRule="auto"/>
              <w:jc w:val="both"/>
              <w:rPr>
                <w:rFonts w:hint="eastAsia" w:ascii="宋体" w:hAnsi="宋体" w:eastAsia="宋体" w:cs="宋体"/>
                <w:b/>
                <w:bCs/>
                <w:kern w:val="2"/>
                <w:sz w:val="18"/>
                <w:szCs w:val="18"/>
                <w:highlight w:val="none"/>
              </w:rPr>
            </w:pPr>
            <w:r>
              <w:rPr>
                <w:rFonts w:hint="eastAsia" w:ascii="宋体" w:hAnsi="宋体" w:eastAsia="宋体" w:cs="宋体"/>
                <w:b/>
                <w:bCs/>
                <w:kern w:val="2"/>
                <w:sz w:val="18"/>
                <w:szCs w:val="18"/>
                <w:highlight w:val="none"/>
              </w:rPr>
              <w:t>六月</w:t>
            </w:r>
          </w:p>
        </w:tc>
        <w:tc>
          <w:tcPr>
            <w:tcW w:w="1206" w:type="dxa"/>
            <w:vMerge w:val="restart"/>
            <w:noWrap w:val="0"/>
            <w:vAlign w:val="center"/>
          </w:tcPr>
          <w:p w14:paraId="7ABB8E49">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1、整形修剪（每月2次）</w:t>
            </w:r>
          </w:p>
        </w:tc>
        <w:tc>
          <w:tcPr>
            <w:tcW w:w="5202" w:type="dxa"/>
            <w:vMerge w:val="restart"/>
            <w:noWrap w:val="0"/>
            <w:vAlign w:val="center"/>
          </w:tcPr>
          <w:p w14:paraId="12F72029">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lang w:val="en-US" w:eastAsia="zh-CN"/>
              </w:rPr>
              <w:t>1</w:t>
            </w:r>
            <w:r>
              <w:rPr>
                <w:rFonts w:hint="eastAsia" w:ascii="宋体" w:hAnsi="宋体" w:eastAsia="宋体" w:cs="宋体"/>
                <w:kern w:val="2"/>
                <w:sz w:val="18"/>
                <w:szCs w:val="18"/>
                <w:highlight w:val="none"/>
              </w:rPr>
              <w:t>、花灌木、色块地被：清理死苗，修去病虫枝、徒长枝、过密枝、枯死枝、萌芽枝、花后植物的花梗及藤蔓寄生物，保持树形优美；安全措施符合规范要求。　　　　　　　　　</w:t>
            </w:r>
          </w:p>
          <w:p w14:paraId="23E2825E">
            <w:pPr>
              <w:spacing w:line="240" w:lineRule="auto"/>
              <w:jc w:val="left"/>
              <w:rPr>
                <w:rFonts w:hint="eastAsia" w:ascii="宋体" w:hAnsi="宋体" w:eastAsia="宋体" w:cs="宋体"/>
                <w:kern w:val="2"/>
                <w:sz w:val="18"/>
                <w:szCs w:val="18"/>
                <w:highlight w:val="none"/>
                <w:lang w:val="en-US" w:eastAsia="zh-CN"/>
              </w:rPr>
            </w:pPr>
            <w:r>
              <w:rPr>
                <w:rFonts w:hint="eastAsia" w:ascii="宋体" w:hAnsi="宋体" w:eastAsia="宋体" w:cs="宋体"/>
                <w:kern w:val="2"/>
                <w:sz w:val="18"/>
                <w:szCs w:val="18"/>
                <w:highlight w:val="none"/>
                <w:lang w:val="en-US" w:eastAsia="zh-CN"/>
              </w:rPr>
              <w:t>2</w:t>
            </w:r>
            <w:r>
              <w:rPr>
                <w:rFonts w:hint="eastAsia" w:ascii="宋体" w:hAnsi="宋体" w:eastAsia="宋体" w:cs="宋体"/>
                <w:kern w:val="2"/>
                <w:sz w:val="18"/>
                <w:szCs w:val="18"/>
                <w:highlight w:val="none"/>
              </w:rPr>
              <w:t xml:space="preserve">、草坪、色块：适时修剪，保持整齐美观，做到线直面平。　　　                                    </w:t>
            </w:r>
            <w:r>
              <w:rPr>
                <w:rFonts w:hint="eastAsia" w:ascii="宋体" w:hAnsi="宋体" w:eastAsia="宋体" w:cs="宋体"/>
                <w:kern w:val="2"/>
                <w:sz w:val="18"/>
                <w:szCs w:val="18"/>
                <w:highlight w:val="none"/>
                <w:lang w:val="en-US" w:eastAsia="zh-CN"/>
              </w:rPr>
              <w:t>3</w:t>
            </w:r>
            <w:r>
              <w:rPr>
                <w:rFonts w:hint="eastAsia" w:ascii="宋体" w:hAnsi="宋体" w:eastAsia="宋体" w:cs="宋体"/>
                <w:kern w:val="2"/>
                <w:sz w:val="18"/>
                <w:szCs w:val="18"/>
                <w:highlight w:val="none"/>
              </w:rPr>
              <w:t>、修剪物及时清理。</w:t>
            </w:r>
          </w:p>
        </w:tc>
        <w:tc>
          <w:tcPr>
            <w:tcW w:w="0" w:type="auto"/>
            <w:vMerge w:val="restart"/>
            <w:noWrap w:val="0"/>
            <w:vAlign w:val="center"/>
          </w:tcPr>
          <w:p w14:paraId="07CA6044">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1.乔木剥芽修剪。                                                  2.花灌木清理死苗，修去病虫枝、徒长枝、过密枝、枯死枝、萌芽枝、花后植物的花梗及藤蔓寄生物，保持树形优美。　                         </w:t>
            </w:r>
          </w:p>
          <w:p w14:paraId="0889493E">
            <w:pPr>
              <w:spacing w:line="240" w:lineRule="auto"/>
              <w:jc w:val="left"/>
              <w:rPr>
                <w:rFonts w:hint="eastAsia" w:ascii="宋体" w:hAnsi="宋体" w:eastAsia="宋体" w:cs="宋体"/>
                <w:kern w:val="2"/>
                <w:sz w:val="18"/>
                <w:szCs w:val="18"/>
                <w:highlight w:val="none"/>
                <w:lang w:eastAsia="zh-CN"/>
              </w:rPr>
            </w:pPr>
            <w:r>
              <w:rPr>
                <w:rFonts w:hint="eastAsia" w:ascii="宋体" w:hAnsi="宋体" w:eastAsia="宋体" w:cs="宋体"/>
                <w:kern w:val="2"/>
                <w:sz w:val="18"/>
                <w:szCs w:val="18"/>
                <w:highlight w:val="none"/>
              </w:rPr>
              <w:t>3.绿篱、色块保持整齐美观，修杂乱枝及藤蔓枯枝，做到线直面平。</w:t>
            </w:r>
          </w:p>
          <w:p w14:paraId="4C366954">
            <w:pPr>
              <w:spacing w:line="240" w:lineRule="auto"/>
              <w:jc w:val="left"/>
              <w:rPr>
                <w:rFonts w:hint="eastAsia" w:ascii="宋体" w:hAnsi="宋体" w:eastAsia="宋体" w:cs="宋体"/>
                <w:kern w:val="2"/>
                <w:sz w:val="18"/>
                <w:szCs w:val="18"/>
                <w:highlight w:val="none"/>
                <w:lang w:eastAsia="zh-CN"/>
              </w:rPr>
            </w:pPr>
            <w:r>
              <w:rPr>
                <w:rFonts w:hint="eastAsia" w:ascii="宋体" w:hAnsi="宋体" w:eastAsia="宋体" w:cs="宋体"/>
                <w:kern w:val="2"/>
                <w:sz w:val="18"/>
                <w:szCs w:val="18"/>
                <w:highlight w:val="none"/>
              </w:rPr>
              <w:t>4.草坪适时修剪2次，高羊茅草坪每次修剪留茬高度5~6厘米。</w:t>
            </w:r>
          </w:p>
          <w:p w14:paraId="719289D9">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5、所有区域绿篱、板块、草坪等该月根据生长情况修剪2次。</w:t>
            </w:r>
          </w:p>
        </w:tc>
        <w:tc>
          <w:tcPr>
            <w:tcW w:w="0" w:type="auto"/>
            <w:vMerge w:val="restart"/>
            <w:noWrap w:val="0"/>
            <w:vAlign w:val="center"/>
          </w:tcPr>
          <w:p w14:paraId="3BF5867B">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本月养护工作重点是除草、病虫害防治和抗旱排涝</w:t>
            </w:r>
          </w:p>
        </w:tc>
      </w:tr>
      <w:tr w14:paraId="6F09F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0" w:type="auto"/>
            <w:vMerge w:val="continue"/>
            <w:noWrap w:val="0"/>
            <w:vAlign w:val="center"/>
          </w:tcPr>
          <w:p w14:paraId="2A3E56E5">
            <w:pPr>
              <w:spacing w:line="240" w:lineRule="auto"/>
              <w:jc w:val="both"/>
              <w:rPr>
                <w:rFonts w:hint="eastAsia" w:ascii="宋体" w:hAnsi="宋体" w:eastAsia="宋体" w:cs="宋体"/>
                <w:b/>
                <w:bCs/>
                <w:kern w:val="2"/>
                <w:sz w:val="18"/>
                <w:szCs w:val="18"/>
                <w:highlight w:val="none"/>
              </w:rPr>
            </w:pPr>
          </w:p>
        </w:tc>
        <w:tc>
          <w:tcPr>
            <w:tcW w:w="1206" w:type="dxa"/>
            <w:vMerge w:val="continue"/>
            <w:noWrap w:val="0"/>
            <w:vAlign w:val="center"/>
          </w:tcPr>
          <w:p w14:paraId="469627E8">
            <w:pPr>
              <w:spacing w:line="240" w:lineRule="auto"/>
              <w:jc w:val="both"/>
              <w:rPr>
                <w:rFonts w:hint="eastAsia" w:ascii="宋体" w:hAnsi="宋体" w:eastAsia="宋体" w:cs="宋体"/>
                <w:kern w:val="2"/>
                <w:sz w:val="18"/>
                <w:szCs w:val="18"/>
                <w:highlight w:val="none"/>
              </w:rPr>
            </w:pPr>
          </w:p>
        </w:tc>
        <w:tc>
          <w:tcPr>
            <w:tcW w:w="5202" w:type="dxa"/>
            <w:vMerge w:val="continue"/>
            <w:noWrap w:val="0"/>
            <w:vAlign w:val="center"/>
          </w:tcPr>
          <w:p w14:paraId="330A15B5">
            <w:pPr>
              <w:spacing w:line="240" w:lineRule="auto"/>
              <w:jc w:val="left"/>
              <w:rPr>
                <w:rFonts w:hint="eastAsia" w:ascii="宋体" w:hAnsi="宋体" w:eastAsia="宋体" w:cs="宋体"/>
                <w:kern w:val="2"/>
                <w:sz w:val="18"/>
                <w:szCs w:val="18"/>
                <w:highlight w:val="none"/>
              </w:rPr>
            </w:pPr>
          </w:p>
        </w:tc>
        <w:tc>
          <w:tcPr>
            <w:tcW w:w="0" w:type="auto"/>
            <w:vMerge w:val="continue"/>
            <w:noWrap w:val="0"/>
            <w:vAlign w:val="center"/>
          </w:tcPr>
          <w:p w14:paraId="1EC65DB4">
            <w:pPr>
              <w:spacing w:line="240" w:lineRule="auto"/>
              <w:jc w:val="left"/>
              <w:rPr>
                <w:rFonts w:hint="eastAsia" w:ascii="宋体" w:hAnsi="宋体" w:eastAsia="宋体" w:cs="宋体"/>
                <w:kern w:val="2"/>
                <w:sz w:val="18"/>
                <w:szCs w:val="18"/>
                <w:highlight w:val="none"/>
              </w:rPr>
            </w:pPr>
          </w:p>
        </w:tc>
        <w:tc>
          <w:tcPr>
            <w:tcW w:w="0" w:type="auto"/>
            <w:vMerge w:val="continue"/>
            <w:noWrap w:val="0"/>
            <w:vAlign w:val="center"/>
          </w:tcPr>
          <w:p w14:paraId="1582FB74">
            <w:pPr>
              <w:spacing w:line="240" w:lineRule="auto"/>
              <w:jc w:val="both"/>
              <w:rPr>
                <w:rFonts w:hint="eastAsia" w:ascii="宋体" w:hAnsi="宋体" w:eastAsia="宋体" w:cs="宋体"/>
                <w:kern w:val="2"/>
                <w:sz w:val="18"/>
                <w:szCs w:val="18"/>
                <w:highlight w:val="none"/>
              </w:rPr>
            </w:pPr>
          </w:p>
        </w:tc>
      </w:tr>
      <w:tr w14:paraId="6EF53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trPr>
        <w:tc>
          <w:tcPr>
            <w:tcW w:w="0" w:type="auto"/>
            <w:vMerge w:val="continue"/>
            <w:noWrap w:val="0"/>
            <w:vAlign w:val="center"/>
          </w:tcPr>
          <w:p w14:paraId="41DCDACD">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38A30C11">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2、防病治虫</w:t>
            </w:r>
          </w:p>
        </w:tc>
        <w:tc>
          <w:tcPr>
            <w:tcW w:w="5202" w:type="dxa"/>
            <w:noWrap w:val="0"/>
            <w:vAlign w:val="center"/>
          </w:tcPr>
          <w:p w14:paraId="162519B3">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1、每15天喷药防治一次，最大限度地控制病虫基数　　　　　　　2、病虫害：主要是黑斑病、叶斑病、红蜘蛛、金龟子、刺蛾、尺蠖、蝽象等。　　　　　　　             </w:t>
            </w:r>
          </w:p>
          <w:p w14:paraId="6B5118B4">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3、对症下药，防治及时。　　　　　　　　　　     </w:t>
            </w:r>
          </w:p>
          <w:p w14:paraId="56386286">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4、需设专职技术人员巡查。</w:t>
            </w:r>
          </w:p>
        </w:tc>
        <w:tc>
          <w:tcPr>
            <w:tcW w:w="0" w:type="auto"/>
            <w:noWrap w:val="0"/>
            <w:vAlign w:val="center"/>
          </w:tcPr>
          <w:p w14:paraId="4AF5E6F5">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1.刺蛾6月中旬至7月下旬为第1代幼虫为害期，被害寄主广泛，主要有杨、柳、悬铃木、重阳木、栾树、乌桕、无患子、苦楝、喜树、杜英、樱花、紫荆，采用50%杀螟松乳剂500—800倍液喷洒。（或用复合BT乳剂进行喷施）                                                                2.樟巢螟预计6月中旬左右出现第一代幼虫，6月下旬趁低龄且粘结叶片较少时防治，及时剪除，并销毁虫巢。                                        3.天牛 6月为多种天牛成虫羽化盛期，采用人工捕杀或喷绿色威雷300倍液触杀成虫，减少其下代危害。                                       4.黄杨绢野螟 6月上中旬发生第一代幼虫危害，阿维毒1500倍液或灭幼脲2000倍喷虫苞，或摘除虫苞销毁。                                        5. 草坪害虫 斜纹夜蛾、淡剑夜蛾、灰翅夜蛾、地老虎等草坪害虫危害6月显现，6月中下旬用地虫杀星剂拌土撒施或用奥力克500倍浇灌。         </w:t>
            </w:r>
          </w:p>
          <w:p w14:paraId="6A8B10C8">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6.其他 介壳虫 蚜虫 网椿 粉虱 木虱 叶部病害等。</w:t>
            </w:r>
          </w:p>
        </w:tc>
        <w:tc>
          <w:tcPr>
            <w:tcW w:w="0" w:type="auto"/>
            <w:vMerge w:val="continue"/>
            <w:noWrap w:val="0"/>
            <w:vAlign w:val="center"/>
          </w:tcPr>
          <w:p w14:paraId="249CFDFD">
            <w:pPr>
              <w:spacing w:line="240" w:lineRule="auto"/>
              <w:jc w:val="both"/>
              <w:rPr>
                <w:rFonts w:hint="eastAsia" w:ascii="宋体" w:hAnsi="宋体" w:eastAsia="宋体" w:cs="宋体"/>
                <w:kern w:val="2"/>
                <w:sz w:val="18"/>
                <w:szCs w:val="18"/>
                <w:highlight w:val="none"/>
              </w:rPr>
            </w:pPr>
          </w:p>
        </w:tc>
      </w:tr>
      <w:tr w14:paraId="39160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0" w:type="auto"/>
            <w:vMerge w:val="continue"/>
            <w:noWrap w:val="0"/>
            <w:vAlign w:val="center"/>
          </w:tcPr>
          <w:p w14:paraId="24484779">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5F15C488">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3、浇水、排涝</w:t>
            </w:r>
          </w:p>
        </w:tc>
        <w:tc>
          <w:tcPr>
            <w:tcW w:w="5202" w:type="dxa"/>
            <w:noWrap w:val="0"/>
            <w:vAlign w:val="center"/>
          </w:tcPr>
          <w:p w14:paraId="6446250E">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1、根据天气情况适时浇水或排除绿地、树坑基部积水。　　　　　　　                                 2、浇水应浇透。　　                      　     </w:t>
            </w:r>
          </w:p>
          <w:p w14:paraId="4BBDF887">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3、时间为早、晚，避开中午高温。</w:t>
            </w:r>
          </w:p>
        </w:tc>
        <w:tc>
          <w:tcPr>
            <w:tcW w:w="0" w:type="auto"/>
            <w:noWrap w:val="0"/>
            <w:vAlign w:val="center"/>
          </w:tcPr>
          <w:p w14:paraId="0AE807DD">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甲乙类养护区域绿化积水人工排除，积水时间不超过6小时。每次浇水浇湿土层在10cm以上。</w:t>
            </w:r>
          </w:p>
        </w:tc>
        <w:tc>
          <w:tcPr>
            <w:tcW w:w="0" w:type="auto"/>
            <w:vMerge w:val="continue"/>
            <w:noWrap w:val="0"/>
            <w:vAlign w:val="center"/>
          </w:tcPr>
          <w:p w14:paraId="0CCAF039">
            <w:pPr>
              <w:spacing w:line="240" w:lineRule="auto"/>
              <w:jc w:val="both"/>
              <w:rPr>
                <w:rFonts w:hint="eastAsia" w:ascii="宋体" w:hAnsi="宋体" w:eastAsia="宋体" w:cs="宋体"/>
                <w:kern w:val="2"/>
                <w:sz w:val="18"/>
                <w:szCs w:val="18"/>
                <w:highlight w:val="none"/>
              </w:rPr>
            </w:pPr>
          </w:p>
        </w:tc>
      </w:tr>
      <w:tr w14:paraId="47CC9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0" w:type="auto"/>
            <w:vMerge w:val="continue"/>
            <w:noWrap w:val="0"/>
            <w:vAlign w:val="center"/>
          </w:tcPr>
          <w:p w14:paraId="424EA300">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2B2B28CE">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4、杂草防除</w:t>
            </w:r>
          </w:p>
        </w:tc>
        <w:tc>
          <w:tcPr>
            <w:tcW w:w="5202" w:type="dxa"/>
            <w:noWrap w:val="0"/>
            <w:vAlign w:val="center"/>
          </w:tcPr>
          <w:p w14:paraId="74D4A9A4">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1、坚持以防为主，综合防治。　　　　　　　      　</w:t>
            </w:r>
          </w:p>
          <w:p w14:paraId="0EFE2579">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2、及时清除杂草、杂物，保持绿地整洁。　　                         3、人工除草10天左右一次。</w:t>
            </w:r>
          </w:p>
        </w:tc>
        <w:tc>
          <w:tcPr>
            <w:tcW w:w="0" w:type="auto"/>
            <w:noWrap w:val="0"/>
            <w:vAlign w:val="center"/>
          </w:tcPr>
          <w:p w14:paraId="7B919E43">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甲乙类区域杂草随张随清，其他区域各类杂草每10—15天清除一次</w:t>
            </w:r>
          </w:p>
        </w:tc>
        <w:tc>
          <w:tcPr>
            <w:tcW w:w="0" w:type="auto"/>
            <w:vMerge w:val="continue"/>
            <w:noWrap w:val="0"/>
            <w:vAlign w:val="center"/>
          </w:tcPr>
          <w:p w14:paraId="2618E095">
            <w:pPr>
              <w:spacing w:line="240" w:lineRule="auto"/>
              <w:jc w:val="both"/>
              <w:rPr>
                <w:rFonts w:hint="eastAsia" w:ascii="宋体" w:hAnsi="宋体" w:eastAsia="宋体" w:cs="宋体"/>
                <w:kern w:val="2"/>
                <w:sz w:val="18"/>
                <w:szCs w:val="18"/>
                <w:highlight w:val="none"/>
              </w:rPr>
            </w:pPr>
          </w:p>
        </w:tc>
      </w:tr>
      <w:tr w14:paraId="3ADDE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0" w:type="auto"/>
            <w:vMerge w:val="continue"/>
            <w:noWrap w:val="0"/>
            <w:vAlign w:val="center"/>
          </w:tcPr>
          <w:p w14:paraId="200ADE91">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59455318">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5、其它</w:t>
            </w:r>
          </w:p>
        </w:tc>
        <w:tc>
          <w:tcPr>
            <w:tcW w:w="5202" w:type="dxa"/>
            <w:noWrap w:val="0"/>
            <w:vAlign w:val="center"/>
          </w:tcPr>
          <w:p w14:paraId="7AA73BC7">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1、及时清除绿地杂物。                            </w:t>
            </w:r>
          </w:p>
          <w:p w14:paraId="0821230D">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2、专职人员加强巡回检查，及时发现损坏绿地、苗木的案件，不属责职范围内的应及时报告。　　　　　　　　　　　                    　        3、对行道树、单株乔木支撑或检查加固，做好防台工作。</w:t>
            </w:r>
          </w:p>
        </w:tc>
        <w:tc>
          <w:tcPr>
            <w:tcW w:w="0" w:type="auto"/>
            <w:noWrap w:val="0"/>
            <w:vAlign w:val="center"/>
          </w:tcPr>
          <w:p w14:paraId="40EBB6F0">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1、专职巡查人员和养护人员加强巡查。                                           2、绿地范围内如有乱开挖和损坏绿地、苗木的案件（事件），24小时内及时报告。　　                                                      3、及时检查行道树绑扎、立桩情况，发现松绑、铅丝嵌皮、摇桩等情况时立即整改。　　                                                    </w:t>
            </w:r>
          </w:p>
        </w:tc>
        <w:tc>
          <w:tcPr>
            <w:tcW w:w="0" w:type="auto"/>
            <w:vMerge w:val="continue"/>
            <w:noWrap w:val="0"/>
            <w:vAlign w:val="center"/>
          </w:tcPr>
          <w:p w14:paraId="72CF7A16">
            <w:pPr>
              <w:spacing w:line="240" w:lineRule="auto"/>
              <w:jc w:val="both"/>
              <w:rPr>
                <w:rFonts w:hint="eastAsia" w:ascii="宋体" w:hAnsi="宋体" w:eastAsia="宋体" w:cs="宋体"/>
                <w:kern w:val="2"/>
                <w:sz w:val="18"/>
                <w:szCs w:val="18"/>
                <w:highlight w:val="none"/>
              </w:rPr>
            </w:pPr>
          </w:p>
        </w:tc>
      </w:tr>
      <w:tr w14:paraId="2454C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0" w:type="auto"/>
            <w:vMerge w:val="restart"/>
            <w:noWrap w:val="0"/>
            <w:vAlign w:val="center"/>
          </w:tcPr>
          <w:p w14:paraId="6821286C">
            <w:pPr>
              <w:spacing w:line="240" w:lineRule="auto"/>
              <w:jc w:val="both"/>
              <w:rPr>
                <w:rFonts w:hint="eastAsia" w:ascii="宋体" w:hAnsi="宋体" w:eastAsia="宋体" w:cs="宋体"/>
                <w:b/>
                <w:bCs/>
                <w:kern w:val="2"/>
                <w:sz w:val="18"/>
                <w:szCs w:val="18"/>
                <w:highlight w:val="none"/>
              </w:rPr>
            </w:pPr>
            <w:r>
              <w:rPr>
                <w:rFonts w:hint="eastAsia" w:ascii="宋体" w:hAnsi="宋体" w:eastAsia="宋体" w:cs="宋体"/>
                <w:b/>
                <w:bCs/>
                <w:kern w:val="2"/>
                <w:sz w:val="18"/>
                <w:szCs w:val="18"/>
                <w:highlight w:val="none"/>
              </w:rPr>
              <w:t>七月</w:t>
            </w:r>
          </w:p>
        </w:tc>
        <w:tc>
          <w:tcPr>
            <w:tcW w:w="1206" w:type="dxa"/>
            <w:noWrap w:val="0"/>
            <w:vAlign w:val="center"/>
          </w:tcPr>
          <w:p w14:paraId="4C1F2AC6">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1、整形修剪</w:t>
            </w:r>
          </w:p>
        </w:tc>
        <w:tc>
          <w:tcPr>
            <w:tcW w:w="5202" w:type="dxa"/>
            <w:noWrap w:val="0"/>
            <w:vAlign w:val="center"/>
          </w:tcPr>
          <w:p w14:paraId="4FBAD5E4">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lang w:val="en-US" w:eastAsia="zh-CN"/>
              </w:rPr>
              <w:t>1</w:t>
            </w:r>
            <w:r>
              <w:rPr>
                <w:rFonts w:hint="eastAsia" w:ascii="宋体" w:hAnsi="宋体" w:eastAsia="宋体" w:cs="宋体"/>
                <w:kern w:val="2"/>
                <w:sz w:val="18"/>
                <w:szCs w:val="18"/>
                <w:highlight w:val="none"/>
              </w:rPr>
              <w:t>、花灌木、色块地被：清理死苗，修去病虫枝、徒长枝、过密枝、枯死枝、萌芽枝、花后植物的花梗及藤蔓寄生物，保持树形优美；安全措施符合规范要求。　　　　　　　　　</w:t>
            </w:r>
          </w:p>
          <w:p w14:paraId="7E460808">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lang w:val="en-US" w:eastAsia="zh-CN"/>
              </w:rPr>
              <w:t>2</w:t>
            </w:r>
            <w:r>
              <w:rPr>
                <w:rFonts w:hint="eastAsia" w:ascii="宋体" w:hAnsi="宋体" w:eastAsia="宋体" w:cs="宋体"/>
                <w:kern w:val="2"/>
                <w:sz w:val="18"/>
                <w:szCs w:val="18"/>
                <w:highlight w:val="none"/>
              </w:rPr>
              <w:t>、草坪、色块：保持整齐美观，修杂乱枝及藤蔓枯枝，做到线直面平。　　　　　　　                               　</w:t>
            </w:r>
          </w:p>
          <w:p w14:paraId="3F3E84B5">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lang w:val="en-US" w:eastAsia="zh-CN"/>
              </w:rPr>
              <w:t>3</w:t>
            </w:r>
            <w:r>
              <w:rPr>
                <w:rFonts w:hint="eastAsia" w:ascii="宋体" w:hAnsi="宋体" w:eastAsia="宋体" w:cs="宋体"/>
                <w:kern w:val="2"/>
                <w:sz w:val="18"/>
                <w:szCs w:val="18"/>
                <w:highlight w:val="none"/>
              </w:rPr>
              <w:t>、修剪物及时清理。</w:t>
            </w:r>
          </w:p>
        </w:tc>
        <w:tc>
          <w:tcPr>
            <w:tcW w:w="0" w:type="auto"/>
            <w:noWrap w:val="0"/>
            <w:vAlign w:val="center"/>
          </w:tcPr>
          <w:p w14:paraId="19CAC6BC">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1.乔木剥芽修剪。                                                                          2.花木剥萌蘖芽。                                                                          3. 甲类绿篱、色块、草坪该月每10天左右，修剪1次。 乙类区域每15天修剪一次。</w:t>
            </w:r>
          </w:p>
        </w:tc>
        <w:tc>
          <w:tcPr>
            <w:tcW w:w="0" w:type="auto"/>
            <w:vMerge w:val="restart"/>
            <w:noWrap w:val="0"/>
            <w:vAlign w:val="center"/>
          </w:tcPr>
          <w:p w14:paraId="7DFB20A0">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本月养护工作重点是抗旱。</w:t>
            </w:r>
          </w:p>
        </w:tc>
      </w:tr>
      <w:tr w14:paraId="29C37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trPr>
        <w:tc>
          <w:tcPr>
            <w:tcW w:w="0" w:type="auto"/>
            <w:vMerge w:val="continue"/>
            <w:noWrap w:val="0"/>
            <w:vAlign w:val="center"/>
          </w:tcPr>
          <w:p w14:paraId="6BCE4163">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381D8A92">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2、防病治虫</w:t>
            </w:r>
          </w:p>
        </w:tc>
        <w:tc>
          <w:tcPr>
            <w:tcW w:w="5202" w:type="dxa"/>
            <w:noWrap w:val="0"/>
            <w:vAlign w:val="center"/>
          </w:tcPr>
          <w:p w14:paraId="5AA50301">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1、每15天喷药防治一次，最大限度地控制病虫基数　　　　　　　2、病虫害：主要是刺蛾、尺蠖等。　　　　　　　　                  3、对症下药，防治及时。　　　　　　　　　　      </w:t>
            </w:r>
          </w:p>
          <w:p w14:paraId="390A42EC">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4、需设专职技术人员巡查。</w:t>
            </w:r>
          </w:p>
        </w:tc>
        <w:tc>
          <w:tcPr>
            <w:tcW w:w="0" w:type="auto"/>
            <w:noWrap w:val="0"/>
            <w:vAlign w:val="center"/>
          </w:tcPr>
          <w:p w14:paraId="28AE7728">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1.大叶黄杨尺蠖 7月中旬用苦烟乳油1000倍液或者灭幼脲3号2000倍液防治 </w:t>
            </w:r>
          </w:p>
          <w:p w14:paraId="264F9CEC">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2.青桐木虱、合欢木虱、网椿、叶蝉等危害进一步加重。                         </w:t>
            </w:r>
          </w:p>
          <w:p w14:paraId="4BF4E324">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3.其他同六月病虫害。</w:t>
            </w:r>
          </w:p>
        </w:tc>
        <w:tc>
          <w:tcPr>
            <w:tcW w:w="0" w:type="auto"/>
            <w:vMerge w:val="continue"/>
            <w:noWrap w:val="0"/>
            <w:vAlign w:val="center"/>
          </w:tcPr>
          <w:p w14:paraId="4AB20F40">
            <w:pPr>
              <w:spacing w:line="240" w:lineRule="auto"/>
              <w:jc w:val="both"/>
              <w:rPr>
                <w:rFonts w:hint="eastAsia" w:ascii="宋体" w:hAnsi="宋体" w:eastAsia="宋体" w:cs="宋体"/>
                <w:kern w:val="2"/>
                <w:sz w:val="18"/>
                <w:szCs w:val="18"/>
                <w:highlight w:val="none"/>
              </w:rPr>
            </w:pPr>
          </w:p>
        </w:tc>
      </w:tr>
      <w:tr w14:paraId="07114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0" w:type="auto"/>
            <w:vMerge w:val="continue"/>
            <w:noWrap w:val="0"/>
            <w:vAlign w:val="center"/>
          </w:tcPr>
          <w:p w14:paraId="7F4D90DE">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0A66E170">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3、浇水</w:t>
            </w:r>
          </w:p>
        </w:tc>
        <w:tc>
          <w:tcPr>
            <w:tcW w:w="5202" w:type="dxa"/>
            <w:noWrap w:val="0"/>
            <w:vAlign w:val="center"/>
          </w:tcPr>
          <w:p w14:paraId="4CF7A9A9">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1、根据天气情况适时浇水,保持土壤充足水分。　　　　                 2、浇水应浇透。　　                    　       </w:t>
            </w:r>
          </w:p>
          <w:p w14:paraId="0FC90444">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3、时间为早、晚，避开中午高温。</w:t>
            </w:r>
          </w:p>
        </w:tc>
        <w:tc>
          <w:tcPr>
            <w:tcW w:w="0" w:type="auto"/>
            <w:noWrap w:val="0"/>
            <w:vAlign w:val="center"/>
          </w:tcPr>
          <w:p w14:paraId="68947181">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每次浇水浇湿土层在10cm以上。</w:t>
            </w:r>
          </w:p>
        </w:tc>
        <w:tc>
          <w:tcPr>
            <w:tcW w:w="0" w:type="auto"/>
            <w:vMerge w:val="continue"/>
            <w:noWrap w:val="0"/>
            <w:vAlign w:val="center"/>
          </w:tcPr>
          <w:p w14:paraId="707A6711">
            <w:pPr>
              <w:spacing w:line="240" w:lineRule="auto"/>
              <w:jc w:val="both"/>
              <w:rPr>
                <w:rFonts w:hint="eastAsia" w:ascii="宋体" w:hAnsi="宋体" w:eastAsia="宋体" w:cs="宋体"/>
                <w:kern w:val="2"/>
                <w:sz w:val="18"/>
                <w:szCs w:val="18"/>
                <w:highlight w:val="none"/>
              </w:rPr>
            </w:pPr>
          </w:p>
        </w:tc>
      </w:tr>
      <w:tr w14:paraId="3CF99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0" w:type="auto"/>
            <w:vMerge w:val="continue"/>
            <w:noWrap w:val="0"/>
            <w:vAlign w:val="center"/>
          </w:tcPr>
          <w:p w14:paraId="28080A14">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4A1B1493">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4、杂草防除</w:t>
            </w:r>
          </w:p>
        </w:tc>
        <w:tc>
          <w:tcPr>
            <w:tcW w:w="5202" w:type="dxa"/>
            <w:noWrap w:val="0"/>
            <w:vAlign w:val="center"/>
          </w:tcPr>
          <w:p w14:paraId="121E3A4F">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1、坚持以防为主，综合防治。　　　　　　　　      </w:t>
            </w:r>
          </w:p>
          <w:p w14:paraId="7FCF3926">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2、及时清除杂草、杂物，保持绿地整洁。                                  　　3、人工除草10天左右一次。</w:t>
            </w:r>
          </w:p>
        </w:tc>
        <w:tc>
          <w:tcPr>
            <w:tcW w:w="0" w:type="auto"/>
            <w:noWrap w:val="0"/>
            <w:vAlign w:val="center"/>
          </w:tcPr>
          <w:p w14:paraId="53D81C2B">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甲乙类区域杂草随张随清，其他区域各类杂草每10—15天清除一次</w:t>
            </w:r>
          </w:p>
        </w:tc>
        <w:tc>
          <w:tcPr>
            <w:tcW w:w="0" w:type="auto"/>
            <w:vMerge w:val="continue"/>
            <w:noWrap w:val="0"/>
            <w:vAlign w:val="center"/>
          </w:tcPr>
          <w:p w14:paraId="69971B9B">
            <w:pPr>
              <w:spacing w:line="240" w:lineRule="auto"/>
              <w:jc w:val="both"/>
              <w:rPr>
                <w:rFonts w:hint="eastAsia" w:ascii="宋体" w:hAnsi="宋体" w:eastAsia="宋体" w:cs="宋体"/>
                <w:kern w:val="2"/>
                <w:sz w:val="18"/>
                <w:szCs w:val="18"/>
                <w:highlight w:val="none"/>
              </w:rPr>
            </w:pPr>
          </w:p>
        </w:tc>
      </w:tr>
      <w:tr w14:paraId="31EE5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9" w:hRule="atLeast"/>
        </w:trPr>
        <w:tc>
          <w:tcPr>
            <w:tcW w:w="0" w:type="auto"/>
            <w:vMerge w:val="continue"/>
            <w:noWrap w:val="0"/>
            <w:vAlign w:val="center"/>
          </w:tcPr>
          <w:p w14:paraId="6F16007E">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76735FED">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5、其它</w:t>
            </w:r>
          </w:p>
        </w:tc>
        <w:tc>
          <w:tcPr>
            <w:tcW w:w="5202" w:type="dxa"/>
            <w:noWrap w:val="0"/>
            <w:vAlign w:val="center"/>
          </w:tcPr>
          <w:p w14:paraId="05DFFCE1">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1、及时清除绿地杂物。                           </w:t>
            </w:r>
          </w:p>
          <w:p w14:paraId="25FCD971">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2、专职人员加强巡回检查，及时发现损坏绿地、苗木的案件，不属责职范围内的应及时报告。　　　　　　　　　　　　                            3、对行道树、单株乔木支撑或检查加固，做好防台工作。</w:t>
            </w:r>
          </w:p>
        </w:tc>
        <w:tc>
          <w:tcPr>
            <w:tcW w:w="0" w:type="auto"/>
            <w:noWrap w:val="0"/>
            <w:vAlign w:val="center"/>
          </w:tcPr>
          <w:p w14:paraId="0D43D95E">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1、专职巡查人员和养护人员加强巡查。                                           2、绿地范围内如有乱开挖和损坏绿地、苗木的案件（事件），24小时内及时报告。　　                                                      3、及时检查行道树绑扎、立桩情况，发现松绑、铅丝嵌皮、摇桩等情况时立即整改。　　                                                    </w:t>
            </w:r>
          </w:p>
        </w:tc>
        <w:tc>
          <w:tcPr>
            <w:tcW w:w="0" w:type="auto"/>
            <w:vMerge w:val="continue"/>
            <w:noWrap w:val="0"/>
            <w:vAlign w:val="center"/>
          </w:tcPr>
          <w:p w14:paraId="0A75A3FE">
            <w:pPr>
              <w:spacing w:line="240" w:lineRule="auto"/>
              <w:jc w:val="both"/>
              <w:rPr>
                <w:rFonts w:hint="eastAsia" w:ascii="宋体" w:hAnsi="宋体" w:eastAsia="宋体" w:cs="宋体"/>
                <w:kern w:val="2"/>
                <w:sz w:val="18"/>
                <w:szCs w:val="18"/>
                <w:highlight w:val="none"/>
              </w:rPr>
            </w:pPr>
          </w:p>
        </w:tc>
      </w:tr>
      <w:tr w14:paraId="48E91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0" w:type="auto"/>
            <w:vMerge w:val="restart"/>
            <w:noWrap w:val="0"/>
            <w:vAlign w:val="center"/>
          </w:tcPr>
          <w:p w14:paraId="5FBE4BE8">
            <w:pPr>
              <w:spacing w:line="240" w:lineRule="auto"/>
              <w:jc w:val="both"/>
              <w:rPr>
                <w:rFonts w:hint="eastAsia" w:ascii="宋体" w:hAnsi="宋体" w:eastAsia="宋体" w:cs="宋体"/>
                <w:b/>
                <w:bCs/>
                <w:kern w:val="2"/>
                <w:sz w:val="18"/>
                <w:szCs w:val="18"/>
                <w:highlight w:val="none"/>
              </w:rPr>
            </w:pPr>
            <w:r>
              <w:rPr>
                <w:rFonts w:hint="eastAsia" w:ascii="宋体" w:hAnsi="宋体" w:eastAsia="宋体" w:cs="宋体"/>
                <w:b/>
                <w:bCs/>
                <w:kern w:val="2"/>
                <w:sz w:val="18"/>
                <w:szCs w:val="18"/>
                <w:highlight w:val="none"/>
              </w:rPr>
              <w:t>八月</w:t>
            </w:r>
          </w:p>
        </w:tc>
        <w:tc>
          <w:tcPr>
            <w:tcW w:w="1206" w:type="dxa"/>
            <w:noWrap w:val="0"/>
            <w:vAlign w:val="center"/>
          </w:tcPr>
          <w:p w14:paraId="3D0A2197">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1、整形修剪</w:t>
            </w:r>
          </w:p>
        </w:tc>
        <w:tc>
          <w:tcPr>
            <w:tcW w:w="5202" w:type="dxa"/>
            <w:noWrap w:val="0"/>
            <w:vAlign w:val="center"/>
          </w:tcPr>
          <w:p w14:paraId="5B3C4E45">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lang w:val="en-US" w:eastAsia="zh-CN"/>
              </w:rPr>
              <w:t>1</w:t>
            </w:r>
            <w:r>
              <w:rPr>
                <w:rFonts w:hint="eastAsia" w:ascii="宋体" w:hAnsi="宋体" w:eastAsia="宋体" w:cs="宋体"/>
                <w:kern w:val="2"/>
                <w:sz w:val="18"/>
                <w:szCs w:val="18"/>
                <w:highlight w:val="none"/>
              </w:rPr>
              <w:t>、花灌木、色块地被：清理死苗，修去病虫枝、徒长枝、过密枝、枯死枝、萌芽枝、花后植物的花梗及藤蔓寄生物，保持树形优美；安全措施符合规范要求。　　　　　　　　　</w:t>
            </w:r>
          </w:p>
          <w:p w14:paraId="12C5367A">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lang w:val="en-US" w:eastAsia="zh-CN"/>
              </w:rPr>
              <w:t>2</w:t>
            </w:r>
            <w:r>
              <w:rPr>
                <w:rFonts w:hint="eastAsia" w:ascii="宋体" w:hAnsi="宋体" w:eastAsia="宋体" w:cs="宋体"/>
                <w:kern w:val="2"/>
                <w:sz w:val="18"/>
                <w:szCs w:val="18"/>
                <w:highlight w:val="none"/>
              </w:rPr>
              <w:t xml:space="preserve">、草坪、色块：保持整齐美观，修杂乱枝及藤蔓枯枝，做到线直面平。　                                             </w:t>
            </w:r>
          </w:p>
          <w:p w14:paraId="32CD2358">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lang w:val="en-US" w:eastAsia="zh-CN"/>
              </w:rPr>
              <w:t>3</w:t>
            </w:r>
            <w:r>
              <w:rPr>
                <w:rFonts w:hint="eastAsia" w:ascii="宋体" w:hAnsi="宋体" w:eastAsia="宋体" w:cs="宋体"/>
                <w:kern w:val="2"/>
                <w:sz w:val="18"/>
                <w:szCs w:val="18"/>
                <w:highlight w:val="none"/>
              </w:rPr>
              <w:t>、修剪物及时清理。</w:t>
            </w:r>
          </w:p>
        </w:tc>
        <w:tc>
          <w:tcPr>
            <w:tcW w:w="0" w:type="auto"/>
            <w:noWrap w:val="0"/>
            <w:vAlign w:val="center"/>
          </w:tcPr>
          <w:p w14:paraId="4C844F95">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1.乔木剥芽修剪。                                                                          2.花木剥萌蘖芽，清理 死苗、修剪病虫枝、徒长枝、过密枝、枯死枝、萌芽枝、花后的花梗以及藤蔓寄生植物，保持树形优美。                                                                         3. 甲类绿篱、板块、草坪该月每10天左右，修剪1次。乙、丙类区域每15天修剪一次。</w:t>
            </w:r>
          </w:p>
        </w:tc>
        <w:tc>
          <w:tcPr>
            <w:tcW w:w="0" w:type="auto"/>
            <w:vMerge w:val="restart"/>
            <w:noWrap w:val="0"/>
            <w:vAlign w:val="center"/>
          </w:tcPr>
          <w:p w14:paraId="42C90993">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本月养护工作重点是浇水、施肥及防治樟巢螟</w:t>
            </w:r>
          </w:p>
        </w:tc>
      </w:tr>
      <w:tr w14:paraId="73F18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trPr>
        <w:tc>
          <w:tcPr>
            <w:tcW w:w="0" w:type="auto"/>
            <w:vMerge w:val="continue"/>
            <w:noWrap w:val="0"/>
            <w:vAlign w:val="center"/>
          </w:tcPr>
          <w:p w14:paraId="4ED6537A">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0687296C">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2、防病治虫</w:t>
            </w:r>
          </w:p>
        </w:tc>
        <w:tc>
          <w:tcPr>
            <w:tcW w:w="5202" w:type="dxa"/>
            <w:noWrap w:val="0"/>
            <w:vAlign w:val="center"/>
          </w:tcPr>
          <w:p w14:paraId="3CD77EBA">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1、每15天喷药防治一次，最大限度地控制病虫基数　　　　　　　2、病虫害：主要是刺蛾、樟巢螟等。　　　　　　　　                 3、对症下药，防治及时。　　　　　　　　　      　</w:t>
            </w:r>
          </w:p>
          <w:p w14:paraId="4302E7CC">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4、需设专职技术人员巡查。</w:t>
            </w:r>
          </w:p>
        </w:tc>
        <w:tc>
          <w:tcPr>
            <w:tcW w:w="0" w:type="auto"/>
            <w:noWrap w:val="0"/>
            <w:vAlign w:val="center"/>
          </w:tcPr>
          <w:p w14:paraId="46B00AD8">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同七月</w:t>
            </w:r>
          </w:p>
          <w:p w14:paraId="03BE1DCB">
            <w:pPr>
              <w:spacing w:line="240" w:lineRule="auto"/>
              <w:jc w:val="left"/>
              <w:rPr>
                <w:rFonts w:hint="eastAsia" w:ascii="宋体" w:hAnsi="宋体" w:eastAsia="宋体" w:cs="宋体"/>
                <w:kern w:val="2"/>
                <w:sz w:val="18"/>
                <w:szCs w:val="18"/>
                <w:highlight w:val="none"/>
              </w:rPr>
            </w:pPr>
          </w:p>
          <w:p w14:paraId="2376DC71">
            <w:pPr>
              <w:spacing w:line="240" w:lineRule="auto"/>
              <w:jc w:val="left"/>
              <w:rPr>
                <w:rFonts w:hint="eastAsia" w:ascii="宋体" w:hAnsi="宋体" w:eastAsia="宋体" w:cs="宋体"/>
                <w:kern w:val="2"/>
                <w:sz w:val="18"/>
                <w:szCs w:val="18"/>
                <w:highlight w:val="none"/>
              </w:rPr>
            </w:pPr>
          </w:p>
          <w:p w14:paraId="66DBEDD6">
            <w:pPr>
              <w:spacing w:line="240" w:lineRule="auto"/>
              <w:jc w:val="left"/>
              <w:rPr>
                <w:rFonts w:hint="eastAsia" w:ascii="宋体" w:hAnsi="宋体" w:eastAsia="宋体" w:cs="宋体"/>
                <w:kern w:val="2"/>
                <w:sz w:val="18"/>
                <w:szCs w:val="18"/>
                <w:highlight w:val="none"/>
              </w:rPr>
            </w:pPr>
          </w:p>
        </w:tc>
        <w:tc>
          <w:tcPr>
            <w:tcW w:w="0" w:type="auto"/>
            <w:vMerge w:val="continue"/>
            <w:noWrap w:val="0"/>
            <w:vAlign w:val="center"/>
          </w:tcPr>
          <w:p w14:paraId="60649072">
            <w:pPr>
              <w:spacing w:line="240" w:lineRule="auto"/>
              <w:jc w:val="both"/>
              <w:rPr>
                <w:rFonts w:hint="eastAsia" w:ascii="宋体" w:hAnsi="宋体" w:eastAsia="宋体" w:cs="宋体"/>
                <w:kern w:val="2"/>
                <w:sz w:val="18"/>
                <w:szCs w:val="18"/>
                <w:highlight w:val="none"/>
              </w:rPr>
            </w:pPr>
          </w:p>
        </w:tc>
      </w:tr>
      <w:tr w14:paraId="18873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0" w:type="auto"/>
            <w:vMerge w:val="continue"/>
            <w:noWrap w:val="0"/>
            <w:vAlign w:val="center"/>
          </w:tcPr>
          <w:p w14:paraId="29B6FD8C">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0AA126FD">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3、浇水</w:t>
            </w:r>
          </w:p>
        </w:tc>
        <w:tc>
          <w:tcPr>
            <w:tcW w:w="5202" w:type="dxa"/>
            <w:noWrap w:val="0"/>
            <w:vAlign w:val="center"/>
          </w:tcPr>
          <w:p w14:paraId="24E88399">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1、根据天气情况适时浇水,保持土壤充足水分。　　　　                2、浇水应浇透。　　　                            </w:t>
            </w:r>
          </w:p>
          <w:p w14:paraId="7A331AD2">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3、时间为早、晚，避开中午高温。</w:t>
            </w:r>
          </w:p>
        </w:tc>
        <w:tc>
          <w:tcPr>
            <w:tcW w:w="0" w:type="auto"/>
            <w:noWrap w:val="0"/>
            <w:vAlign w:val="center"/>
          </w:tcPr>
          <w:p w14:paraId="0F3570C5">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每次浇水浇湿土层在10cm以上。</w:t>
            </w:r>
          </w:p>
        </w:tc>
        <w:tc>
          <w:tcPr>
            <w:tcW w:w="0" w:type="auto"/>
            <w:vMerge w:val="continue"/>
            <w:noWrap w:val="0"/>
            <w:vAlign w:val="center"/>
          </w:tcPr>
          <w:p w14:paraId="4790BA89">
            <w:pPr>
              <w:spacing w:line="240" w:lineRule="auto"/>
              <w:jc w:val="both"/>
              <w:rPr>
                <w:rFonts w:hint="eastAsia" w:ascii="宋体" w:hAnsi="宋体" w:eastAsia="宋体" w:cs="宋体"/>
                <w:kern w:val="2"/>
                <w:sz w:val="18"/>
                <w:szCs w:val="18"/>
                <w:highlight w:val="none"/>
              </w:rPr>
            </w:pPr>
          </w:p>
        </w:tc>
      </w:tr>
      <w:tr w14:paraId="06830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0" w:type="auto"/>
            <w:vMerge w:val="continue"/>
            <w:noWrap w:val="0"/>
            <w:vAlign w:val="center"/>
          </w:tcPr>
          <w:p w14:paraId="00AD9BF9">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6534AB5C">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4、杂草防除</w:t>
            </w:r>
          </w:p>
        </w:tc>
        <w:tc>
          <w:tcPr>
            <w:tcW w:w="5202" w:type="dxa"/>
            <w:noWrap w:val="0"/>
            <w:vAlign w:val="center"/>
          </w:tcPr>
          <w:p w14:paraId="2416602D">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1、坚持以防为主，综合防治。　　　　　　　　      </w:t>
            </w:r>
          </w:p>
          <w:p w14:paraId="35B9A2C1">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2、及时清除杂草、杂物，保持绿地整洁。　　                       </w:t>
            </w:r>
          </w:p>
          <w:p w14:paraId="61D8A79A">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3、人工除草10天左右一次。</w:t>
            </w:r>
          </w:p>
        </w:tc>
        <w:tc>
          <w:tcPr>
            <w:tcW w:w="0" w:type="auto"/>
            <w:noWrap w:val="0"/>
            <w:vAlign w:val="center"/>
          </w:tcPr>
          <w:p w14:paraId="2D0C2295">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一级养护区杂草随张随清，其他区各类杂草每10—15天清除一次</w:t>
            </w:r>
          </w:p>
        </w:tc>
        <w:tc>
          <w:tcPr>
            <w:tcW w:w="0" w:type="auto"/>
            <w:vMerge w:val="continue"/>
            <w:noWrap w:val="0"/>
            <w:vAlign w:val="center"/>
          </w:tcPr>
          <w:p w14:paraId="5ADC2324">
            <w:pPr>
              <w:spacing w:line="240" w:lineRule="auto"/>
              <w:jc w:val="both"/>
              <w:rPr>
                <w:rFonts w:hint="eastAsia" w:ascii="宋体" w:hAnsi="宋体" w:eastAsia="宋体" w:cs="宋体"/>
                <w:kern w:val="2"/>
                <w:sz w:val="18"/>
                <w:szCs w:val="18"/>
                <w:highlight w:val="none"/>
              </w:rPr>
            </w:pPr>
          </w:p>
        </w:tc>
      </w:tr>
      <w:tr w14:paraId="3677D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trPr>
        <w:tc>
          <w:tcPr>
            <w:tcW w:w="0" w:type="auto"/>
            <w:vMerge w:val="continue"/>
            <w:noWrap w:val="0"/>
            <w:vAlign w:val="center"/>
          </w:tcPr>
          <w:p w14:paraId="171C7BD6">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4CAED06D">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5、施肥（绿地和苗木普施）</w:t>
            </w:r>
          </w:p>
        </w:tc>
        <w:tc>
          <w:tcPr>
            <w:tcW w:w="5202" w:type="dxa"/>
            <w:noWrap w:val="0"/>
            <w:vAlign w:val="center"/>
          </w:tcPr>
          <w:p w14:paraId="2B683DC7">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1、品种以复合肥为主　　　　　　                  </w:t>
            </w:r>
          </w:p>
          <w:p w14:paraId="75D3DDBE">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2、施肥量每亩15公斤左右。</w:t>
            </w:r>
          </w:p>
        </w:tc>
        <w:tc>
          <w:tcPr>
            <w:tcW w:w="0" w:type="auto"/>
            <w:noWrap w:val="0"/>
            <w:vAlign w:val="center"/>
          </w:tcPr>
          <w:p w14:paraId="54E2C74D">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1.草坪，花、灌木每亩15公斤复合肥均匀施下。然后浇足量水，让肥料充分溶解渗透。                                                       2.乔木施肥要求：胸径（干径）&lt;10cm时，用量不少于1.5kg/棵；胸径（干径）&gt;10cm时，用量不少于为2kg/棵，复合肥随灌水或降雨环施，保证肥料充分溶解渗入树木根系。</w:t>
            </w:r>
          </w:p>
        </w:tc>
        <w:tc>
          <w:tcPr>
            <w:tcW w:w="0" w:type="auto"/>
            <w:vMerge w:val="continue"/>
            <w:noWrap w:val="0"/>
            <w:vAlign w:val="center"/>
          </w:tcPr>
          <w:p w14:paraId="64B2778E">
            <w:pPr>
              <w:spacing w:line="240" w:lineRule="auto"/>
              <w:jc w:val="both"/>
              <w:rPr>
                <w:rFonts w:hint="eastAsia" w:ascii="宋体" w:hAnsi="宋体" w:eastAsia="宋体" w:cs="宋体"/>
                <w:kern w:val="2"/>
                <w:sz w:val="18"/>
                <w:szCs w:val="18"/>
                <w:highlight w:val="none"/>
              </w:rPr>
            </w:pPr>
          </w:p>
        </w:tc>
      </w:tr>
      <w:tr w14:paraId="757C7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trPr>
        <w:tc>
          <w:tcPr>
            <w:tcW w:w="0" w:type="auto"/>
            <w:vMerge w:val="continue"/>
            <w:noWrap w:val="0"/>
            <w:vAlign w:val="center"/>
          </w:tcPr>
          <w:p w14:paraId="2563A9B2">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47050ADB">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6、其它</w:t>
            </w:r>
          </w:p>
        </w:tc>
        <w:tc>
          <w:tcPr>
            <w:tcW w:w="5202" w:type="dxa"/>
            <w:noWrap w:val="0"/>
            <w:vAlign w:val="center"/>
          </w:tcPr>
          <w:p w14:paraId="6B5C41EC">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1、及时清除绿地杂物。                            </w:t>
            </w:r>
          </w:p>
          <w:p w14:paraId="781B001D">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2、专职人员加强巡回检查，及时发现损坏绿地、苗木的案件，不属责职范围内的应及时报告。　　　　　　　　　　　　                           3、对行道树、单株乔木支撑或检查加固，做好防台工作。</w:t>
            </w:r>
          </w:p>
        </w:tc>
        <w:tc>
          <w:tcPr>
            <w:tcW w:w="0" w:type="auto"/>
            <w:noWrap w:val="0"/>
            <w:vAlign w:val="center"/>
          </w:tcPr>
          <w:p w14:paraId="3CE0F9E3">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1、专职巡查人员和养护人员加强巡查。                                           2、绿地范围内如有乱开挖和损坏绿地、苗木的案件（事件），24小时内及时报告。　　                                                      3、及时检查行道树绑扎、立桩情况，发现松绑、铅丝嵌皮、摇桩等情况时立即整改。　　                                                    </w:t>
            </w:r>
          </w:p>
        </w:tc>
        <w:tc>
          <w:tcPr>
            <w:tcW w:w="0" w:type="auto"/>
            <w:vMerge w:val="continue"/>
            <w:noWrap w:val="0"/>
            <w:vAlign w:val="center"/>
          </w:tcPr>
          <w:p w14:paraId="10A79C8A">
            <w:pPr>
              <w:spacing w:line="240" w:lineRule="auto"/>
              <w:jc w:val="both"/>
              <w:rPr>
                <w:rFonts w:hint="eastAsia" w:ascii="宋体" w:hAnsi="宋体" w:eastAsia="宋体" w:cs="宋体"/>
                <w:kern w:val="2"/>
                <w:sz w:val="18"/>
                <w:szCs w:val="18"/>
                <w:highlight w:val="none"/>
              </w:rPr>
            </w:pPr>
          </w:p>
        </w:tc>
      </w:tr>
      <w:tr w14:paraId="42D11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0" w:hRule="atLeast"/>
        </w:trPr>
        <w:tc>
          <w:tcPr>
            <w:tcW w:w="0" w:type="auto"/>
            <w:vMerge w:val="restart"/>
            <w:noWrap w:val="0"/>
            <w:vAlign w:val="center"/>
          </w:tcPr>
          <w:p w14:paraId="40F0F94E">
            <w:pPr>
              <w:spacing w:line="240" w:lineRule="auto"/>
              <w:jc w:val="both"/>
              <w:rPr>
                <w:rFonts w:hint="eastAsia" w:ascii="宋体" w:hAnsi="宋体" w:eastAsia="宋体" w:cs="宋体"/>
                <w:b/>
                <w:bCs/>
                <w:kern w:val="2"/>
                <w:sz w:val="18"/>
                <w:szCs w:val="18"/>
                <w:highlight w:val="none"/>
              </w:rPr>
            </w:pPr>
            <w:r>
              <w:rPr>
                <w:rFonts w:hint="eastAsia" w:ascii="宋体" w:hAnsi="宋体" w:eastAsia="宋体" w:cs="宋体"/>
                <w:b/>
                <w:bCs/>
                <w:kern w:val="2"/>
                <w:sz w:val="18"/>
                <w:szCs w:val="18"/>
                <w:highlight w:val="none"/>
              </w:rPr>
              <w:t>九月</w:t>
            </w:r>
          </w:p>
        </w:tc>
        <w:tc>
          <w:tcPr>
            <w:tcW w:w="1206" w:type="dxa"/>
            <w:vMerge w:val="restart"/>
            <w:noWrap w:val="0"/>
            <w:vAlign w:val="center"/>
          </w:tcPr>
          <w:p w14:paraId="6C4DB4FA">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1、整形修剪</w:t>
            </w:r>
          </w:p>
        </w:tc>
        <w:tc>
          <w:tcPr>
            <w:tcW w:w="5202" w:type="dxa"/>
            <w:vMerge w:val="restart"/>
            <w:noWrap w:val="0"/>
            <w:vAlign w:val="center"/>
          </w:tcPr>
          <w:p w14:paraId="1B429012">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lang w:val="en-US" w:eastAsia="zh-CN"/>
              </w:rPr>
              <w:t>1</w:t>
            </w:r>
            <w:r>
              <w:rPr>
                <w:rFonts w:hint="eastAsia" w:ascii="宋体" w:hAnsi="宋体" w:eastAsia="宋体" w:cs="宋体"/>
                <w:kern w:val="2"/>
                <w:sz w:val="18"/>
                <w:szCs w:val="18"/>
                <w:highlight w:val="none"/>
              </w:rPr>
              <w:t>、花灌木、色块地被：清理死苗，修去病虫枝、徒长枝、过密枝、枯死枝、萌芽枝、花后植物的花梗及藤蔓寄生物，保持树形优美；安全措施符合规范要求。　　　　　　　　　</w:t>
            </w:r>
          </w:p>
          <w:p w14:paraId="0B4FB9E8">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lang w:val="en-US" w:eastAsia="zh-CN"/>
              </w:rPr>
              <w:t>2</w:t>
            </w:r>
            <w:r>
              <w:rPr>
                <w:rFonts w:hint="eastAsia" w:ascii="宋体" w:hAnsi="宋体" w:eastAsia="宋体" w:cs="宋体"/>
                <w:kern w:val="2"/>
                <w:sz w:val="18"/>
                <w:szCs w:val="18"/>
                <w:highlight w:val="none"/>
              </w:rPr>
              <w:t xml:space="preserve">、草坪、色块：保持整齐美观，节前全面进行一次修剪。　　　　　　                                </w:t>
            </w:r>
            <w:r>
              <w:rPr>
                <w:rFonts w:hint="eastAsia" w:ascii="宋体" w:hAnsi="宋体" w:eastAsia="宋体" w:cs="宋体"/>
                <w:kern w:val="2"/>
                <w:sz w:val="18"/>
                <w:szCs w:val="18"/>
                <w:highlight w:val="none"/>
                <w:lang w:val="en-US" w:eastAsia="zh-CN"/>
              </w:rPr>
              <w:t>3</w:t>
            </w:r>
            <w:r>
              <w:rPr>
                <w:rFonts w:hint="eastAsia" w:ascii="宋体" w:hAnsi="宋体" w:eastAsia="宋体" w:cs="宋体"/>
                <w:kern w:val="2"/>
                <w:sz w:val="18"/>
                <w:szCs w:val="18"/>
                <w:highlight w:val="none"/>
              </w:rPr>
              <w:t>、修剪物及时清理。</w:t>
            </w:r>
          </w:p>
        </w:tc>
        <w:tc>
          <w:tcPr>
            <w:tcW w:w="0" w:type="auto"/>
            <w:noWrap w:val="0"/>
            <w:vAlign w:val="center"/>
          </w:tcPr>
          <w:p w14:paraId="1B44E2B5">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1.乔木剥芽修剪。                                                  2.花灌木清理死苗，修去病虫枝、徒长枝、过密枝、枯死枝、萌芽枝、花后植物的花梗及藤蔓寄生物，保持树形优美。　                          </w:t>
            </w:r>
          </w:p>
          <w:p w14:paraId="06B4A79D">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3.绿篱、色块保持整齐美观，修杂乱枝及藤蔓枯枝，做到线直面平。所有区域修剪两次。</w:t>
            </w:r>
          </w:p>
        </w:tc>
        <w:tc>
          <w:tcPr>
            <w:tcW w:w="0" w:type="auto"/>
            <w:vMerge w:val="restart"/>
            <w:noWrap w:val="0"/>
            <w:vAlign w:val="center"/>
          </w:tcPr>
          <w:p w14:paraId="74FC697F">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本月养护工作重点是修剪、除杂、补缺。</w:t>
            </w:r>
          </w:p>
        </w:tc>
      </w:tr>
      <w:tr w14:paraId="6770D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0" w:type="auto"/>
            <w:vMerge w:val="continue"/>
            <w:noWrap w:val="0"/>
            <w:vAlign w:val="center"/>
          </w:tcPr>
          <w:p w14:paraId="790FFBEB">
            <w:pPr>
              <w:spacing w:line="240" w:lineRule="auto"/>
              <w:jc w:val="both"/>
              <w:rPr>
                <w:rFonts w:hint="eastAsia" w:ascii="宋体" w:hAnsi="宋体" w:eastAsia="宋体" w:cs="宋体"/>
                <w:b/>
                <w:bCs/>
                <w:kern w:val="2"/>
                <w:sz w:val="18"/>
                <w:szCs w:val="18"/>
                <w:highlight w:val="none"/>
              </w:rPr>
            </w:pPr>
          </w:p>
        </w:tc>
        <w:tc>
          <w:tcPr>
            <w:tcW w:w="1206" w:type="dxa"/>
            <w:vMerge w:val="continue"/>
            <w:noWrap w:val="0"/>
            <w:vAlign w:val="center"/>
          </w:tcPr>
          <w:p w14:paraId="72D3D732">
            <w:pPr>
              <w:spacing w:line="240" w:lineRule="auto"/>
              <w:jc w:val="both"/>
              <w:rPr>
                <w:rFonts w:hint="eastAsia" w:ascii="宋体" w:hAnsi="宋体" w:eastAsia="宋体" w:cs="宋体"/>
                <w:kern w:val="2"/>
                <w:sz w:val="18"/>
                <w:szCs w:val="18"/>
                <w:highlight w:val="none"/>
              </w:rPr>
            </w:pPr>
          </w:p>
        </w:tc>
        <w:tc>
          <w:tcPr>
            <w:tcW w:w="5202" w:type="dxa"/>
            <w:vMerge w:val="continue"/>
            <w:noWrap w:val="0"/>
            <w:vAlign w:val="center"/>
          </w:tcPr>
          <w:p w14:paraId="00BF9264">
            <w:pPr>
              <w:spacing w:line="240" w:lineRule="auto"/>
              <w:jc w:val="left"/>
              <w:rPr>
                <w:rFonts w:hint="eastAsia" w:ascii="宋体" w:hAnsi="宋体" w:eastAsia="宋体" w:cs="宋体"/>
                <w:kern w:val="2"/>
                <w:sz w:val="18"/>
                <w:szCs w:val="18"/>
                <w:highlight w:val="none"/>
              </w:rPr>
            </w:pPr>
          </w:p>
        </w:tc>
        <w:tc>
          <w:tcPr>
            <w:tcW w:w="0" w:type="auto"/>
            <w:noWrap w:val="0"/>
            <w:vAlign w:val="center"/>
          </w:tcPr>
          <w:p w14:paraId="3447E40C">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4.草坪适时修剪2次，高羊茅草坪每次修剪留茬高度5~6厘米。</w:t>
            </w:r>
          </w:p>
        </w:tc>
        <w:tc>
          <w:tcPr>
            <w:tcW w:w="0" w:type="auto"/>
            <w:vMerge w:val="continue"/>
            <w:noWrap w:val="0"/>
            <w:vAlign w:val="center"/>
          </w:tcPr>
          <w:p w14:paraId="2FCFA114">
            <w:pPr>
              <w:spacing w:line="240" w:lineRule="auto"/>
              <w:jc w:val="both"/>
              <w:rPr>
                <w:rFonts w:hint="eastAsia" w:ascii="宋体" w:hAnsi="宋体" w:eastAsia="宋体" w:cs="宋体"/>
                <w:kern w:val="2"/>
                <w:sz w:val="18"/>
                <w:szCs w:val="18"/>
                <w:highlight w:val="none"/>
              </w:rPr>
            </w:pPr>
          </w:p>
        </w:tc>
      </w:tr>
      <w:tr w14:paraId="3EE89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trPr>
        <w:tc>
          <w:tcPr>
            <w:tcW w:w="0" w:type="auto"/>
            <w:vMerge w:val="continue"/>
            <w:noWrap w:val="0"/>
            <w:vAlign w:val="center"/>
          </w:tcPr>
          <w:p w14:paraId="5C26D2B4">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2EEE9E22">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2、防病治虫</w:t>
            </w:r>
          </w:p>
        </w:tc>
        <w:tc>
          <w:tcPr>
            <w:tcW w:w="5202" w:type="dxa"/>
            <w:noWrap w:val="0"/>
            <w:vAlign w:val="center"/>
          </w:tcPr>
          <w:p w14:paraId="1ECE0E1D">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1、病虫害：主要是刺蛾、樟巢螟等。　　　　　　　                 　2、对症下药，防治及时。　　　　　　　　　　     </w:t>
            </w:r>
          </w:p>
          <w:p w14:paraId="46E7EF90">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3、需设专职技术人员巡查。</w:t>
            </w:r>
          </w:p>
        </w:tc>
        <w:tc>
          <w:tcPr>
            <w:tcW w:w="0" w:type="auto"/>
            <w:noWrap w:val="0"/>
            <w:vAlign w:val="center"/>
          </w:tcPr>
          <w:p w14:paraId="7B4FDF09">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1.樟、狗骨、海棠、玉兰、等枝叶上红蜡蚧、藤壶蚧或龟蜡蚧若虫增多，紫薇绒蚧，紫竹、枫香粉蚧、海桐绵蚧等均有发生，用花保100倍液或机油杀扑磷乳剂800倍喷雾。                                              2.其他同上月</w:t>
            </w:r>
          </w:p>
        </w:tc>
        <w:tc>
          <w:tcPr>
            <w:tcW w:w="0" w:type="auto"/>
            <w:vMerge w:val="continue"/>
            <w:noWrap w:val="0"/>
            <w:vAlign w:val="center"/>
          </w:tcPr>
          <w:p w14:paraId="38354B5C">
            <w:pPr>
              <w:spacing w:line="240" w:lineRule="auto"/>
              <w:jc w:val="both"/>
              <w:rPr>
                <w:rFonts w:hint="eastAsia" w:ascii="宋体" w:hAnsi="宋体" w:eastAsia="宋体" w:cs="宋体"/>
                <w:kern w:val="2"/>
                <w:sz w:val="18"/>
                <w:szCs w:val="18"/>
                <w:highlight w:val="none"/>
              </w:rPr>
            </w:pPr>
          </w:p>
        </w:tc>
      </w:tr>
      <w:tr w14:paraId="61EE2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0" w:type="auto"/>
            <w:vMerge w:val="continue"/>
            <w:noWrap w:val="0"/>
            <w:vAlign w:val="center"/>
          </w:tcPr>
          <w:p w14:paraId="2CB7ABFA">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493B6EE1">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3、浇水排涝</w:t>
            </w:r>
          </w:p>
        </w:tc>
        <w:tc>
          <w:tcPr>
            <w:tcW w:w="5202" w:type="dxa"/>
            <w:noWrap w:val="0"/>
            <w:vAlign w:val="center"/>
          </w:tcPr>
          <w:p w14:paraId="5F65FEA0">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1、根据天气情况适时浇水,保持土壤充足水分。　　　                 　2、浇水应浇透。</w:t>
            </w:r>
          </w:p>
        </w:tc>
        <w:tc>
          <w:tcPr>
            <w:tcW w:w="0" w:type="auto"/>
            <w:noWrap w:val="0"/>
            <w:vAlign w:val="center"/>
          </w:tcPr>
          <w:p w14:paraId="1D7330E4">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每次浇水浇湿土层在10cm以上。</w:t>
            </w:r>
          </w:p>
        </w:tc>
        <w:tc>
          <w:tcPr>
            <w:tcW w:w="0" w:type="auto"/>
            <w:vMerge w:val="continue"/>
            <w:noWrap w:val="0"/>
            <w:vAlign w:val="center"/>
          </w:tcPr>
          <w:p w14:paraId="354380FC">
            <w:pPr>
              <w:spacing w:line="240" w:lineRule="auto"/>
              <w:jc w:val="both"/>
              <w:rPr>
                <w:rFonts w:hint="eastAsia" w:ascii="宋体" w:hAnsi="宋体" w:eastAsia="宋体" w:cs="宋体"/>
                <w:kern w:val="2"/>
                <w:sz w:val="18"/>
                <w:szCs w:val="18"/>
                <w:highlight w:val="none"/>
              </w:rPr>
            </w:pPr>
          </w:p>
        </w:tc>
      </w:tr>
      <w:tr w14:paraId="6CDD9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0" w:type="auto"/>
            <w:vMerge w:val="continue"/>
            <w:noWrap w:val="0"/>
            <w:vAlign w:val="center"/>
          </w:tcPr>
          <w:p w14:paraId="3D58FC4F">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0ADAEF97">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4、杂草防除</w:t>
            </w:r>
          </w:p>
        </w:tc>
        <w:tc>
          <w:tcPr>
            <w:tcW w:w="5202" w:type="dxa"/>
            <w:noWrap w:val="0"/>
            <w:vAlign w:val="center"/>
          </w:tcPr>
          <w:p w14:paraId="03A9F177">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1、坚持以防为主，综合防治。　　　　　　　　     </w:t>
            </w:r>
          </w:p>
          <w:p w14:paraId="24094155">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2、及时清除杂草、杂物，保持绿地整洁。　　                              3、人工除草15天左右一次。</w:t>
            </w:r>
          </w:p>
        </w:tc>
        <w:tc>
          <w:tcPr>
            <w:tcW w:w="0" w:type="auto"/>
            <w:noWrap w:val="0"/>
            <w:vAlign w:val="center"/>
          </w:tcPr>
          <w:p w14:paraId="6AE230D1">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甲乙类养护区杂草随张随清，各类杂草每10—15天清除一次</w:t>
            </w:r>
          </w:p>
        </w:tc>
        <w:tc>
          <w:tcPr>
            <w:tcW w:w="0" w:type="auto"/>
            <w:vMerge w:val="continue"/>
            <w:noWrap w:val="0"/>
            <w:vAlign w:val="center"/>
          </w:tcPr>
          <w:p w14:paraId="43566F10">
            <w:pPr>
              <w:spacing w:line="240" w:lineRule="auto"/>
              <w:jc w:val="both"/>
              <w:rPr>
                <w:rFonts w:hint="eastAsia" w:ascii="宋体" w:hAnsi="宋体" w:eastAsia="宋体" w:cs="宋体"/>
                <w:kern w:val="2"/>
                <w:sz w:val="18"/>
                <w:szCs w:val="18"/>
                <w:highlight w:val="none"/>
              </w:rPr>
            </w:pPr>
          </w:p>
        </w:tc>
      </w:tr>
      <w:tr w14:paraId="3A823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5" w:hRule="atLeast"/>
        </w:trPr>
        <w:tc>
          <w:tcPr>
            <w:tcW w:w="0" w:type="auto"/>
            <w:vMerge w:val="continue"/>
            <w:noWrap w:val="0"/>
            <w:vAlign w:val="center"/>
          </w:tcPr>
          <w:p w14:paraId="6BF71858">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5FF2BDEC">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5、其它</w:t>
            </w:r>
          </w:p>
        </w:tc>
        <w:tc>
          <w:tcPr>
            <w:tcW w:w="5202" w:type="dxa"/>
            <w:noWrap w:val="0"/>
            <w:vAlign w:val="center"/>
          </w:tcPr>
          <w:p w14:paraId="31E24FBB">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1、及时清除绿地杂物。                           </w:t>
            </w:r>
          </w:p>
          <w:p w14:paraId="4618862E">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2、专职人员加强巡回检查，及时发现损坏绿地、苗木的案件，不属责职范围内的应及时报告。　　　　　　　　　　　                  　     3、对行道树、单株乔木支撑或检查加固，做好防台工作。</w:t>
            </w:r>
          </w:p>
        </w:tc>
        <w:tc>
          <w:tcPr>
            <w:tcW w:w="0" w:type="auto"/>
            <w:noWrap w:val="0"/>
            <w:vAlign w:val="center"/>
          </w:tcPr>
          <w:p w14:paraId="4975EC1A">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1、专职巡查人员和养护人员加强巡查。                                           2、绿地范围内如有乱开挖和损坏绿地、苗木的案件（事件），24小时内及时报告。　　                                                      3、及时检查行道树绑扎、立桩情况，发现松绑、铅丝嵌皮、摇桩等情况时立即整改。</w:t>
            </w:r>
          </w:p>
        </w:tc>
        <w:tc>
          <w:tcPr>
            <w:tcW w:w="0" w:type="auto"/>
            <w:vMerge w:val="continue"/>
            <w:noWrap w:val="0"/>
            <w:vAlign w:val="center"/>
          </w:tcPr>
          <w:p w14:paraId="7395670F">
            <w:pPr>
              <w:spacing w:line="240" w:lineRule="auto"/>
              <w:jc w:val="both"/>
              <w:rPr>
                <w:rFonts w:hint="eastAsia" w:ascii="宋体" w:hAnsi="宋体" w:eastAsia="宋体" w:cs="宋体"/>
                <w:kern w:val="2"/>
                <w:sz w:val="18"/>
                <w:szCs w:val="18"/>
                <w:highlight w:val="none"/>
              </w:rPr>
            </w:pPr>
          </w:p>
        </w:tc>
      </w:tr>
      <w:tr w14:paraId="08030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5" w:hRule="atLeast"/>
        </w:trPr>
        <w:tc>
          <w:tcPr>
            <w:tcW w:w="0" w:type="auto"/>
            <w:vMerge w:val="restart"/>
            <w:noWrap w:val="0"/>
            <w:vAlign w:val="center"/>
          </w:tcPr>
          <w:p w14:paraId="60F7F486">
            <w:pPr>
              <w:spacing w:line="240" w:lineRule="auto"/>
              <w:jc w:val="both"/>
              <w:rPr>
                <w:rFonts w:hint="eastAsia" w:ascii="宋体" w:hAnsi="宋体" w:eastAsia="宋体" w:cs="宋体"/>
                <w:b/>
                <w:bCs/>
                <w:kern w:val="2"/>
                <w:sz w:val="18"/>
                <w:szCs w:val="18"/>
                <w:highlight w:val="none"/>
              </w:rPr>
            </w:pPr>
            <w:r>
              <w:rPr>
                <w:rFonts w:hint="eastAsia" w:ascii="宋体" w:hAnsi="宋体" w:eastAsia="宋体" w:cs="宋体"/>
                <w:b/>
                <w:bCs/>
                <w:kern w:val="2"/>
                <w:sz w:val="18"/>
                <w:szCs w:val="18"/>
                <w:highlight w:val="none"/>
              </w:rPr>
              <w:t>十月</w:t>
            </w:r>
          </w:p>
        </w:tc>
        <w:tc>
          <w:tcPr>
            <w:tcW w:w="1206" w:type="dxa"/>
            <w:noWrap w:val="0"/>
            <w:vAlign w:val="center"/>
          </w:tcPr>
          <w:p w14:paraId="0E60B3DF">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1、整形修剪</w:t>
            </w:r>
          </w:p>
        </w:tc>
        <w:tc>
          <w:tcPr>
            <w:tcW w:w="5202" w:type="dxa"/>
            <w:noWrap w:val="0"/>
            <w:vAlign w:val="center"/>
          </w:tcPr>
          <w:p w14:paraId="02B2D2EC">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lang w:val="en-US" w:eastAsia="zh-CN"/>
              </w:rPr>
              <w:t>1</w:t>
            </w:r>
            <w:r>
              <w:rPr>
                <w:rFonts w:hint="eastAsia" w:ascii="宋体" w:hAnsi="宋体" w:eastAsia="宋体" w:cs="宋体"/>
                <w:kern w:val="2"/>
                <w:sz w:val="18"/>
                <w:szCs w:val="18"/>
                <w:highlight w:val="none"/>
              </w:rPr>
              <w:t>、花灌木、色块地被：清理死苗，修去病虫枝、徒长枝、过密枝、枯死枝、萌芽枝、花后植物的花梗及藤蔓寄生物，保持树形优美；安全措施符合规范要求。　　　　　　　　　</w:t>
            </w:r>
          </w:p>
          <w:p w14:paraId="3F278833">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lang w:val="en-US" w:eastAsia="zh-CN"/>
              </w:rPr>
              <w:t>2</w:t>
            </w:r>
            <w:r>
              <w:rPr>
                <w:rFonts w:hint="eastAsia" w:ascii="宋体" w:hAnsi="宋体" w:eastAsia="宋体" w:cs="宋体"/>
                <w:kern w:val="2"/>
                <w:sz w:val="18"/>
                <w:szCs w:val="18"/>
                <w:highlight w:val="none"/>
              </w:rPr>
              <w:t xml:space="preserve">、草坪、色块：保持整齐美观，草坪进行年最后一次修剪。　　　　　　                             </w:t>
            </w:r>
            <w:r>
              <w:rPr>
                <w:rFonts w:hint="eastAsia" w:ascii="宋体" w:hAnsi="宋体" w:eastAsia="宋体" w:cs="宋体"/>
                <w:kern w:val="2"/>
                <w:sz w:val="18"/>
                <w:szCs w:val="18"/>
                <w:highlight w:val="none"/>
                <w:lang w:val="en-US" w:eastAsia="zh-CN"/>
              </w:rPr>
              <w:t>3</w:t>
            </w:r>
            <w:r>
              <w:rPr>
                <w:rFonts w:hint="eastAsia" w:ascii="宋体" w:hAnsi="宋体" w:eastAsia="宋体" w:cs="宋体"/>
                <w:kern w:val="2"/>
                <w:sz w:val="18"/>
                <w:szCs w:val="18"/>
                <w:highlight w:val="none"/>
              </w:rPr>
              <w:t>、修剪物及时清理。</w:t>
            </w:r>
          </w:p>
          <w:p w14:paraId="695EF2F0">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4、本月中旬开始常绿乔木冬季大修剪</w:t>
            </w:r>
          </w:p>
        </w:tc>
        <w:tc>
          <w:tcPr>
            <w:tcW w:w="0" w:type="auto"/>
            <w:noWrap w:val="0"/>
            <w:vAlign w:val="center"/>
          </w:tcPr>
          <w:p w14:paraId="258B2575">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1.乔木剥芽修剪。                                                  2.花灌木清理死苗，修去病虫枝、徒长枝、过密枝、枯死枝、萌芽枝、花后植物的花梗及藤蔓寄生物，保持树形优美。　                          </w:t>
            </w:r>
          </w:p>
          <w:p w14:paraId="4561CC28">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3.绿篱、色块、草坪保持整齐美观，修杂乱枝及藤蔓枯枝，甲乙类级区域适时修剪-2次，其他区域一次。</w:t>
            </w:r>
          </w:p>
        </w:tc>
        <w:tc>
          <w:tcPr>
            <w:tcW w:w="0" w:type="auto"/>
            <w:vMerge w:val="restart"/>
            <w:noWrap w:val="0"/>
            <w:vAlign w:val="center"/>
          </w:tcPr>
          <w:p w14:paraId="643614F5">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本月养护工作重点是整形修剪。</w:t>
            </w:r>
          </w:p>
        </w:tc>
      </w:tr>
      <w:tr w14:paraId="26E74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0" w:type="auto"/>
            <w:vMerge w:val="continue"/>
            <w:noWrap w:val="0"/>
            <w:vAlign w:val="center"/>
          </w:tcPr>
          <w:p w14:paraId="212B6279">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1A9534AB">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2、浇水</w:t>
            </w:r>
          </w:p>
        </w:tc>
        <w:tc>
          <w:tcPr>
            <w:tcW w:w="5202" w:type="dxa"/>
            <w:noWrap w:val="0"/>
            <w:vAlign w:val="center"/>
          </w:tcPr>
          <w:p w14:paraId="2C8DB1FE">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1、根据天气情况适时浇水。</w:t>
            </w:r>
          </w:p>
        </w:tc>
        <w:tc>
          <w:tcPr>
            <w:tcW w:w="0" w:type="auto"/>
            <w:noWrap w:val="0"/>
            <w:vAlign w:val="center"/>
          </w:tcPr>
          <w:p w14:paraId="20755EED">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每次浇水浇湿土层在10cm以上。</w:t>
            </w:r>
          </w:p>
        </w:tc>
        <w:tc>
          <w:tcPr>
            <w:tcW w:w="0" w:type="auto"/>
            <w:vMerge w:val="continue"/>
            <w:noWrap w:val="0"/>
            <w:vAlign w:val="center"/>
          </w:tcPr>
          <w:p w14:paraId="6EFA1680">
            <w:pPr>
              <w:spacing w:line="240" w:lineRule="auto"/>
              <w:jc w:val="both"/>
              <w:rPr>
                <w:rFonts w:hint="eastAsia" w:ascii="宋体" w:hAnsi="宋体" w:eastAsia="宋体" w:cs="宋体"/>
                <w:kern w:val="2"/>
                <w:sz w:val="18"/>
                <w:szCs w:val="18"/>
                <w:highlight w:val="none"/>
              </w:rPr>
            </w:pPr>
          </w:p>
        </w:tc>
      </w:tr>
      <w:tr w14:paraId="2136A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0" w:type="auto"/>
            <w:vMerge w:val="continue"/>
            <w:noWrap w:val="0"/>
            <w:vAlign w:val="center"/>
          </w:tcPr>
          <w:p w14:paraId="430E5350">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60F4344C">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3、杂草防除</w:t>
            </w:r>
          </w:p>
        </w:tc>
        <w:tc>
          <w:tcPr>
            <w:tcW w:w="5202" w:type="dxa"/>
            <w:noWrap w:val="0"/>
            <w:vAlign w:val="center"/>
          </w:tcPr>
          <w:p w14:paraId="4470BACB">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1、坚持以防为主，综合防治。　　　　　　　　      </w:t>
            </w:r>
          </w:p>
          <w:p w14:paraId="4C11D5FA">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2、及时清除杂草、杂物，保持绿地整洁。　　                         3、人工除草15天左右一次。</w:t>
            </w:r>
          </w:p>
        </w:tc>
        <w:tc>
          <w:tcPr>
            <w:tcW w:w="0" w:type="auto"/>
            <w:noWrap w:val="0"/>
            <w:vAlign w:val="center"/>
          </w:tcPr>
          <w:p w14:paraId="5BECCE9F">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该月是各类杂草集中结实期，要求各类杂草每10—15天清除一次，减少越冬草籽</w:t>
            </w:r>
          </w:p>
        </w:tc>
        <w:tc>
          <w:tcPr>
            <w:tcW w:w="0" w:type="auto"/>
            <w:vMerge w:val="continue"/>
            <w:noWrap w:val="0"/>
            <w:vAlign w:val="center"/>
          </w:tcPr>
          <w:p w14:paraId="20E33DF1">
            <w:pPr>
              <w:spacing w:line="240" w:lineRule="auto"/>
              <w:jc w:val="both"/>
              <w:rPr>
                <w:rFonts w:hint="eastAsia" w:ascii="宋体" w:hAnsi="宋体" w:eastAsia="宋体" w:cs="宋体"/>
                <w:kern w:val="2"/>
                <w:sz w:val="18"/>
                <w:szCs w:val="18"/>
                <w:highlight w:val="none"/>
              </w:rPr>
            </w:pPr>
          </w:p>
        </w:tc>
      </w:tr>
      <w:tr w14:paraId="5A299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trPr>
        <w:tc>
          <w:tcPr>
            <w:tcW w:w="0" w:type="auto"/>
            <w:vMerge w:val="continue"/>
            <w:noWrap w:val="0"/>
            <w:vAlign w:val="center"/>
          </w:tcPr>
          <w:p w14:paraId="3EBF8559">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1E262E56">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4、病虫害防治</w:t>
            </w:r>
          </w:p>
        </w:tc>
        <w:tc>
          <w:tcPr>
            <w:tcW w:w="5202" w:type="dxa"/>
            <w:noWrap w:val="0"/>
            <w:vAlign w:val="center"/>
          </w:tcPr>
          <w:p w14:paraId="3AC463CC">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1、病虫害：主要是天牛等。　　　　　　　　     　</w:t>
            </w:r>
          </w:p>
          <w:p w14:paraId="69769079">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2、对症下药，防治及时。　　　　　　　　　       　</w:t>
            </w:r>
          </w:p>
          <w:p w14:paraId="606FDEC2">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3、需设专职技术人员巡查。</w:t>
            </w:r>
          </w:p>
        </w:tc>
        <w:tc>
          <w:tcPr>
            <w:tcW w:w="0" w:type="auto"/>
            <w:noWrap w:val="0"/>
            <w:vAlign w:val="center"/>
          </w:tcPr>
          <w:p w14:paraId="795BFFE9">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1、斜纹夜蛾、蛴螬等草坪虫害十月危害加重 危害马蹄莲、高羊茅、白三叶等，防治方法参照六月。                                                 2.其他病虫害  蚜虫 网椿  粉虱 樟巢螟 疥虫 刺蛾 卷叶蛾等</w:t>
            </w:r>
          </w:p>
        </w:tc>
        <w:tc>
          <w:tcPr>
            <w:tcW w:w="0" w:type="auto"/>
            <w:vMerge w:val="continue"/>
            <w:noWrap w:val="0"/>
            <w:vAlign w:val="center"/>
          </w:tcPr>
          <w:p w14:paraId="35781869">
            <w:pPr>
              <w:spacing w:line="240" w:lineRule="auto"/>
              <w:jc w:val="both"/>
              <w:rPr>
                <w:rFonts w:hint="eastAsia" w:ascii="宋体" w:hAnsi="宋体" w:eastAsia="宋体" w:cs="宋体"/>
                <w:kern w:val="2"/>
                <w:sz w:val="18"/>
                <w:szCs w:val="18"/>
                <w:highlight w:val="none"/>
              </w:rPr>
            </w:pPr>
          </w:p>
        </w:tc>
      </w:tr>
      <w:tr w14:paraId="681B5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0" w:type="auto"/>
            <w:vMerge w:val="continue"/>
            <w:noWrap w:val="0"/>
            <w:vAlign w:val="center"/>
          </w:tcPr>
          <w:p w14:paraId="76F2A863">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094B0040">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5、其它</w:t>
            </w:r>
          </w:p>
        </w:tc>
        <w:tc>
          <w:tcPr>
            <w:tcW w:w="5202" w:type="dxa"/>
            <w:noWrap w:val="0"/>
            <w:vAlign w:val="center"/>
          </w:tcPr>
          <w:p w14:paraId="0302D725">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1、及时清除绿地杂物。                           </w:t>
            </w:r>
          </w:p>
          <w:p w14:paraId="5295EB8A">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2、专职人员加强巡回检查，及时发现损坏绿地、苗木的案件，不属责职范围内的应及时报告。　　　　　　　　　　　　                                                3、对行道树、单株乔木支撑或检查加固。</w:t>
            </w:r>
          </w:p>
        </w:tc>
        <w:tc>
          <w:tcPr>
            <w:tcW w:w="0" w:type="auto"/>
            <w:noWrap w:val="0"/>
            <w:vAlign w:val="center"/>
          </w:tcPr>
          <w:p w14:paraId="3F970419">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1、专职巡查人员和养护人员加强巡查。                                           2、绿地范围内如有乱开挖和损坏绿地、苗木的案件（事件），24小时内及时报告。　　                                                      3、及时检查行道树绑扎、立桩情况，发现松绑、铅丝嵌皮、摇桩等情况时立即整改。　　                                                    </w:t>
            </w:r>
          </w:p>
        </w:tc>
        <w:tc>
          <w:tcPr>
            <w:tcW w:w="0" w:type="auto"/>
            <w:vMerge w:val="continue"/>
            <w:noWrap w:val="0"/>
            <w:vAlign w:val="center"/>
          </w:tcPr>
          <w:p w14:paraId="4EA2872C">
            <w:pPr>
              <w:spacing w:line="240" w:lineRule="auto"/>
              <w:jc w:val="both"/>
              <w:rPr>
                <w:rFonts w:hint="eastAsia" w:ascii="宋体" w:hAnsi="宋体" w:eastAsia="宋体" w:cs="宋体"/>
                <w:kern w:val="2"/>
                <w:sz w:val="18"/>
                <w:szCs w:val="18"/>
                <w:highlight w:val="none"/>
              </w:rPr>
            </w:pPr>
          </w:p>
        </w:tc>
      </w:tr>
      <w:tr w14:paraId="076B6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restart"/>
            <w:noWrap w:val="0"/>
            <w:vAlign w:val="center"/>
          </w:tcPr>
          <w:p w14:paraId="3DD5B36A">
            <w:pPr>
              <w:spacing w:line="240" w:lineRule="auto"/>
              <w:jc w:val="both"/>
              <w:rPr>
                <w:rFonts w:hint="eastAsia" w:ascii="宋体" w:hAnsi="宋体" w:eastAsia="宋体" w:cs="宋体"/>
                <w:b/>
                <w:bCs/>
                <w:kern w:val="2"/>
                <w:sz w:val="18"/>
                <w:szCs w:val="18"/>
                <w:highlight w:val="none"/>
              </w:rPr>
            </w:pPr>
            <w:r>
              <w:rPr>
                <w:rFonts w:hint="eastAsia" w:ascii="宋体" w:hAnsi="宋体" w:eastAsia="宋体" w:cs="宋体"/>
                <w:b/>
                <w:bCs/>
                <w:kern w:val="2"/>
                <w:sz w:val="18"/>
                <w:szCs w:val="18"/>
                <w:highlight w:val="none"/>
              </w:rPr>
              <w:t>十一月</w:t>
            </w:r>
          </w:p>
        </w:tc>
        <w:tc>
          <w:tcPr>
            <w:tcW w:w="1206" w:type="dxa"/>
            <w:vMerge w:val="restart"/>
            <w:noWrap w:val="0"/>
            <w:vAlign w:val="center"/>
          </w:tcPr>
          <w:p w14:paraId="43CF4705">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1、冬季大修剪</w:t>
            </w:r>
          </w:p>
        </w:tc>
        <w:tc>
          <w:tcPr>
            <w:tcW w:w="5202" w:type="dxa"/>
            <w:vMerge w:val="restart"/>
            <w:noWrap w:val="0"/>
            <w:vAlign w:val="center"/>
          </w:tcPr>
          <w:p w14:paraId="42E86EFF">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lang w:val="en-US" w:eastAsia="zh-CN"/>
              </w:rPr>
              <w:t>1</w:t>
            </w:r>
            <w:r>
              <w:rPr>
                <w:rFonts w:hint="eastAsia" w:ascii="宋体" w:hAnsi="宋体" w:eastAsia="宋体" w:cs="宋体"/>
                <w:kern w:val="2"/>
                <w:sz w:val="18"/>
                <w:szCs w:val="18"/>
                <w:highlight w:val="none"/>
              </w:rPr>
              <w:t>、花灌木、色块地被、水生植物：清理枯死，修去病虫枝、徒长枝、过密枝、枯死枝、萌芽枝、花后植物的花梗及藤蔓寄生物，保持树形优美；安全措施符合规范要求。　　　　　　　　　</w:t>
            </w:r>
          </w:p>
          <w:p w14:paraId="052300C0">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lang w:val="en-US" w:eastAsia="zh-CN"/>
              </w:rPr>
              <w:t>2</w:t>
            </w:r>
            <w:r>
              <w:rPr>
                <w:rFonts w:hint="eastAsia" w:ascii="宋体" w:hAnsi="宋体" w:eastAsia="宋体" w:cs="宋体"/>
                <w:kern w:val="2"/>
                <w:sz w:val="18"/>
                <w:szCs w:val="18"/>
                <w:highlight w:val="none"/>
              </w:rPr>
              <w:t xml:space="preserve">、草坪、色块：保持整齐美观，草坪进行年最后一次修剪。　　　　　　                             </w:t>
            </w:r>
            <w:r>
              <w:rPr>
                <w:rFonts w:hint="eastAsia" w:ascii="宋体" w:hAnsi="宋体" w:eastAsia="宋体" w:cs="宋体"/>
                <w:kern w:val="2"/>
                <w:sz w:val="18"/>
                <w:szCs w:val="18"/>
                <w:highlight w:val="none"/>
                <w:lang w:val="en-US" w:eastAsia="zh-CN"/>
              </w:rPr>
              <w:t>3</w:t>
            </w:r>
            <w:r>
              <w:rPr>
                <w:rFonts w:hint="eastAsia" w:ascii="宋体" w:hAnsi="宋体" w:eastAsia="宋体" w:cs="宋体"/>
                <w:kern w:val="2"/>
                <w:sz w:val="18"/>
                <w:szCs w:val="18"/>
                <w:highlight w:val="none"/>
              </w:rPr>
              <w:t>、修剪物及时清理。</w:t>
            </w:r>
          </w:p>
          <w:p w14:paraId="6F669216">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4、本月继续常绿乔木冬季大修剪</w:t>
            </w:r>
          </w:p>
        </w:tc>
        <w:tc>
          <w:tcPr>
            <w:tcW w:w="0" w:type="auto"/>
            <w:noWrap w:val="0"/>
            <w:vAlign w:val="center"/>
          </w:tcPr>
          <w:p w14:paraId="57252F83">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行道树法桐整形修剪，按照“三股六叉十二枝”的原则，以“七去五留”的手法进行人工造型修剪；行道树香樟的修剪保持树木原有形态，以抽稀、疏枝为主，使其树型圆整，通风透光，疏密适中；黄山栾剥萌蘖芽。                     2.花灌木的修剪应当适当区分：当年生枝条上开花的如月季、紫薇、木槿、石榴应当冬季修剪，主要以短截和疏枝为主；在二年生枝条上开花的如樱花、红叶李、梅树、桃树、迎春等应在花后修剪。在多年生枝条上开花的如紫荆、海棠等，修剪量较小，可适当摘心，水生植物清理枯死。</w:t>
            </w:r>
          </w:p>
        </w:tc>
        <w:tc>
          <w:tcPr>
            <w:tcW w:w="0" w:type="auto"/>
            <w:vMerge w:val="restart"/>
            <w:noWrap w:val="0"/>
            <w:vAlign w:val="center"/>
          </w:tcPr>
          <w:p w14:paraId="1458733C">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本月养护工作重点是整形修剪、绿地除杂、涂白。</w:t>
            </w:r>
          </w:p>
        </w:tc>
      </w:tr>
      <w:tr w14:paraId="68901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0" w:type="auto"/>
            <w:vMerge w:val="continue"/>
            <w:noWrap w:val="0"/>
            <w:vAlign w:val="center"/>
          </w:tcPr>
          <w:p w14:paraId="1E3232E8">
            <w:pPr>
              <w:spacing w:line="240" w:lineRule="auto"/>
              <w:jc w:val="both"/>
              <w:rPr>
                <w:rFonts w:hint="eastAsia" w:ascii="宋体" w:hAnsi="宋体" w:eastAsia="宋体" w:cs="宋体"/>
                <w:b/>
                <w:bCs/>
                <w:kern w:val="2"/>
                <w:sz w:val="18"/>
                <w:szCs w:val="18"/>
                <w:highlight w:val="none"/>
              </w:rPr>
            </w:pPr>
          </w:p>
        </w:tc>
        <w:tc>
          <w:tcPr>
            <w:tcW w:w="1206" w:type="dxa"/>
            <w:vMerge w:val="continue"/>
            <w:noWrap w:val="0"/>
            <w:vAlign w:val="center"/>
          </w:tcPr>
          <w:p w14:paraId="467B88FC">
            <w:pPr>
              <w:spacing w:line="240" w:lineRule="auto"/>
              <w:jc w:val="both"/>
              <w:rPr>
                <w:rFonts w:hint="eastAsia" w:ascii="宋体" w:hAnsi="宋体" w:eastAsia="宋体" w:cs="宋体"/>
                <w:kern w:val="2"/>
                <w:sz w:val="18"/>
                <w:szCs w:val="18"/>
                <w:highlight w:val="none"/>
              </w:rPr>
            </w:pPr>
          </w:p>
        </w:tc>
        <w:tc>
          <w:tcPr>
            <w:tcW w:w="5202" w:type="dxa"/>
            <w:vMerge w:val="continue"/>
            <w:noWrap w:val="0"/>
            <w:vAlign w:val="center"/>
          </w:tcPr>
          <w:p w14:paraId="13B31C81">
            <w:pPr>
              <w:spacing w:line="240" w:lineRule="auto"/>
              <w:jc w:val="left"/>
              <w:rPr>
                <w:rFonts w:hint="eastAsia" w:ascii="宋体" w:hAnsi="宋体" w:eastAsia="宋体" w:cs="宋体"/>
                <w:kern w:val="2"/>
                <w:sz w:val="18"/>
                <w:szCs w:val="18"/>
                <w:highlight w:val="none"/>
              </w:rPr>
            </w:pPr>
          </w:p>
        </w:tc>
        <w:tc>
          <w:tcPr>
            <w:tcW w:w="0" w:type="auto"/>
            <w:noWrap w:val="0"/>
            <w:vAlign w:val="center"/>
          </w:tcPr>
          <w:p w14:paraId="7D7DC70E">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绿篱、色块、草坪保持整齐美观，修杂乱枝及藤蔓枯枝</w:t>
            </w:r>
          </w:p>
        </w:tc>
        <w:tc>
          <w:tcPr>
            <w:tcW w:w="0" w:type="auto"/>
            <w:vMerge w:val="continue"/>
            <w:noWrap w:val="0"/>
            <w:vAlign w:val="center"/>
          </w:tcPr>
          <w:p w14:paraId="1D071108">
            <w:pPr>
              <w:spacing w:line="240" w:lineRule="auto"/>
              <w:jc w:val="both"/>
              <w:rPr>
                <w:rFonts w:hint="eastAsia" w:ascii="宋体" w:hAnsi="宋体" w:eastAsia="宋体" w:cs="宋体"/>
                <w:kern w:val="2"/>
                <w:sz w:val="18"/>
                <w:szCs w:val="18"/>
                <w:highlight w:val="none"/>
              </w:rPr>
            </w:pPr>
          </w:p>
        </w:tc>
      </w:tr>
      <w:tr w14:paraId="7E881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0" w:type="auto"/>
            <w:vMerge w:val="continue"/>
            <w:noWrap w:val="0"/>
            <w:vAlign w:val="center"/>
          </w:tcPr>
          <w:p w14:paraId="5A479101">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1A14F687">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2、浇水</w:t>
            </w:r>
          </w:p>
        </w:tc>
        <w:tc>
          <w:tcPr>
            <w:tcW w:w="5202" w:type="dxa"/>
            <w:noWrap w:val="0"/>
            <w:vAlign w:val="center"/>
          </w:tcPr>
          <w:p w14:paraId="53F53A05">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1、根据天气情况适时浇水。</w:t>
            </w:r>
          </w:p>
        </w:tc>
        <w:tc>
          <w:tcPr>
            <w:tcW w:w="0" w:type="auto"/>
            <w:noWrap w:val="0"/>
            <w:vAlign w:val="center"/>
          </w:tcPr>
          <w:p w14:paraId="6E70DEB4">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每次浇水浇湿土层在10cm以上。</w:t>
            </w:r>
          </w:p>
        </w:tc>
        <w:tc>
          <w:tcPr>
            <w:tcW w:w="0" w:type="auto"/>
            <w:vMerge w:val="continue"/>
            <w:noWrap w:val="0"/>
            <w:vAlign w:val="center"/>
          </w:tcPr>
          <w:p w14:paraId="25041AF0">
            <w:pPr>
              <w:spacing w:line="240" w:lineRule="auto"/>
              <w:jc w:val="both"/>
              <w:rPr>
                <w:rFonts w:hint="eastAsia" w:ascii="宋体" w:hAnsi="宋体" w:eastAsia="宋体" w:cs="宋体"/>
                <w:kern w:val="2"/>
                <w:sz w:val="18"/>
                <w:szCs w:val="18"/>
                <w:highlight w:val="none"/>
              </w:rPr>
            </w:pPr>
          </w:p>
        </w:tc>
      </w:tr>
      <w:tr w14:paraId="29801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0" w:type="auto"/>
            <w:vMerge w:val="continue"/>
            <w:noWrap w:val="0"/>
            <w:vAlign w:val="center"/>
          </w:tcPr>
          <w:p w14:paraId="66F0941F">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33363D33">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3、杂草防除</w:t>
            </w:r>
          </w:p>
          <w:p w14:paraId="1721F0AC">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涂白</w:t>
            </w:r>
          </w:p>
        </w:tc>
        <w:tc>
          <w:tcPr>
            <w:tcW w:w="5202" w:type="dxa"/>
            <w:noWrap w:val="0"/>
            <w:vAlign w:val="center"/>
          </w:tcPr>
          <w:p w14:paraId="40EC3463">
            <w:pPr>
              <w:numPr>
                <w:ilvl w:val="0"/>
                <w:numId w:val="16"/>
              </w:num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坚持以防为主，综合防治。　　　　　　　      　</w:t>
            </w:r>
          </w:p>
          <w:p w14:paraId="37DA18FF">
            <w:pPr>
              <w:numPr>
                <w:ilvl w:val="0"/>
                <w:numId w:val="0"/>
              </w:num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2、及时清除杂草、杂物，保持绿地整洁。　　                          3、人工除草15天左右一次。</w:t>
            </w:r>
          </w:p>
          <w:p w14:paraId="1B999394">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4、单株树木在主干1.3米处以下涂石灰液（浆）加盐刷白，做到涂布均匀，上缘平整。</w:t>
            </w:r>
          </w:p>
        </w:tc>
        <w:tc>
          <w:tcPr>
            <w:tcW w:w="0" w:type="auto"/>
            <w:noWrap w:val="0"/>
            <w:vAlign w:val="center"/>
          </w:tcPr>
          <w:p w14:paraId="04CAA2AC">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1、该月是各类杂草集中结实期，要求各类杂草每10—15天清除一次，减少越冬草籽</w:t>
            </w:r>
          </w:p>
          <w:p w14:paraId="132A85A0">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2、当月平均气温降至5℃以下，应对树木进行涂白　　　　　　　        3、涂白剂配方为生石灰：石硫合剂：水=5：2：3。</w:t>
            </w:r>
          </w:p>
        </w:tc>
        <w:tc>
          <w:tcPr>
            <w:tcW w:w="0" w:type="auto"/>
            <w:vMerge w:val="continue"/>
            <w:noWrap w:val="0"/>
            <w:vAlign w:val="center"/>
          </w:tcPr>
          <w:p w14:paraId="2848DB4D">
            <w:pPr>
              <w:spacing w:line="240" w:lineRule="auto"/>
              <w:jc w:val="both"/>
              <w:rPr>
                <w:rFonts w:hint="eastAsia" w:ascii="宋体" w:hAnsi="宋体" w:eastAsia="宋体" w:cs="宋体"/>
                <w:kern w:val="2"/>
                <w:sz w:val="18"/>
                <w:szCs w:val="18"/>
                <w:highlight w:val="none"/>
              </w:rPr>
            </w:pPr>
          </w:p>
        </w:tc>
      </w:tr>
      <w:tr w14:paraId="05558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0" w:type="auto"/>
            <w:vMerge w:val="continue"/>
            <w:noWrap w:val="0"/>
            <w:vAlign w:val="center"/>
          </w:tcPr>
          <w:p w14:paraId="03EEB0B6">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2761D716">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4、其它</w:t>
            </w:r>
          </w:p>
        </w:tc>
        <w:tc>
          <w:tcPr>
            <w:tcW w:w="5202" w:type="dxa"/>
            <w:noWrap w:val="0"/>
            <w:vAlign w:val="center"/>
          </w:tcPr>
          <w:p w14:paraId="4EB4370F">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1、及时清除绿地杂物。                           </w:t>
            </w:r>
          </w:p>
          <w:p w14:paraId="0A1C4251">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2、专职人员加强巡回检查，及时发现损坏绿地、苗木的案件，不属责职范围内的应及时报告。　　　　　　　　　　　　                           3、对行道树、单株乔木支撑或检查加固。</w:t>
            </w:r>
          </w:p>
        </w:tc>
        <w:tc>
          <w:tcPr>
            <w:tcW w:w="0" w:type="auto"/>
            <w:noWrap w:val="0"/>
            <w:vAlign w:val="center"/>
          </w:tcPr>
          <w:p w14:paraId="2D73FF5D">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 xml:space="preserve">1、专职巡查人员和养护人员加强巡查。                                           2、绿地范围内如有乱开挖和损坏绿地、苗木的案件（事件），24小时内及时报告。　　                                                      3、及时检查行道树绑扎、立桩情况，发现松绑、铅丝嵌皮、摇桩等情况时立即整改。　　                                                    </w:t>
            </w:r>
          </w:p>
        </w:tc>
        <w:tc>
          <w:tcPr>
            <w:tcW w:w="0" w:type="auto"/>
            <w:vMerge w:val="continue"/>
            <w:noWrap w:val="0"/>
            <w:vAlign w:val="center"/>
          </w:tcPr>
          <w:p w14:paraId="3DCB4186">
            <w:pPr>
              <w:spacing w:line="240" w:lineRule="auto"/>
              <w:jc w:val="both"/>
              <w:rPr>
                <w:rFonts w:hint="eastAsia" w:ascii="宋体" w:hAnsi="宋体" w:eastAsia="宋体" w:cs="宋体"/>
                <w:kern w:val="2"/>
                <w:sz w:val="18"/>
                <w:szCs w:val="18"/>
                <w:highlight w:val="none"/>
              </w:rPr>
            </w:pPr>
          </w:p>
        </w:tc>
      </w:tr>
      <w:tr w14:paraId="4E4A1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0" w:type="auto"/>
            <w:vMerge w:val="restart"/>
            <w:noWrap w:val="0"/>
            <w:vAlign w:val="center"/>
          </w:tcPr>
          <w:p w14:paraId="2732847C">
            <w:pPr>
              <w:spacing w:line="240" w:lineRule="auto"/>
              <w:jc w:val="both"/>
              <w:rPr>
                <w:rFonts w:hint="eastAsia" w:ascii="宋体" w:hAnsi="宋体" w:eastAsia="宋体" w:cs="宋体"/>
                <w:b/>
                <w:bCs/>
                <w:kern w:val="2"/>
                <w:sz w:val="18"/>
                <w:szCs w:val="18"/>
                <w:highlight w:val="none"/>
              </w:rPr>
            </w:pPr>
            <w:r>
              <w:rPr>
                <w:rFonts w:hint="eastAsia" w:ascii="宋体" w:hAnsi="宋体" w:eastAsia="宋体" w:cs="宋体"/>
                <w:b/>
                <w:bCs/>
                <w:kern w:val="2"/>
                <w:sz w:val="18"/>
                <w:szCs w:val="18"/>
                <w:highlight w:val="none"/>
              </w:rPr>
              <w:t>十二月</w:t>
            </w:r>
          </w:p>
        </w:tc>
        <w:tc>
          <w:tcPr>
            <w:tcW w:w="1206" w:type="dxa"/>
            <w:vMerge w:val="restart"/>
            <w:noWrap w:val="0"/>
            <w:vAlign w:val="center"/>
          </w:tcPr>
          <w:p w14:paraId="53C3D0A9">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１、冬季修剪</w:t>
            </w:r>
          </w:p>
        </w:tc>
        <w:tc>
          <w:tcPr>
            <w:tcW w:w="5202" w:type="dxa"/>
            <w:vMerge w:val="restart"/>
            <w:noWrap w:val="0"/>
            <w:vAlign w:val="center"/>
          </w:tcPr>
          <w:p w14:paraId="00BD2754">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lang w:val="en-US" w:eastAsia="zh-CN"/>
              </w:rPr>
              <w:t>1</w:t>
            </w:r>
            <w:r>
              <w:rPr>
                <w:rFonts w:hint="eastAsia" w:ascii="宋体" w:hAnsi="宋体" w:eastAsia="宋体" w:cs="宋体"/>
                <w:kern w:val="2"/>
                <w:sz w:val="18"/>
                <w:szCs w:val="18"/>
                <w:highlight w:val="none"/>
              </w:rPr>
              <w:t xml:space="preserve">、树木：清理死苗，修去病虫枝、徒长枝、过密枝、枯死枝及藤蔓寄生物，保持树形优美；安全措施符合规范要求。　　　　　　　　                       </w:t>
            </w:r>
            <w:r>
              <w:rPr>
                <w:rFonts w:hint="eastAsia" w:ascii="宋体" w:hAnsi="宋体" w:eastAsia="宋体" w:cs="宋体"/>
                <w:kern w:val="2"/>
                <w:sz w:val="18"/>
                <w:szCs w:val="18"/>
                <w:highlight w:val="none"/>
                <w:lang w:val="en-US" w:eastAsia="zh-CN"/>
              </w:rPr>
              <w:t>2</w:t>
            </w:r>
            <w:r>
              <w:rPr>
                <w:rFonts w:hint="eastAsia" w:ascii="宋体" w:hAnsi="宋体" w:eastAsia="宋体" w:cs="宋体"/>
                <w:kern w:val="2"/>
                <w:sz w:val="18"/>
                <w:szCs w:val="18"/>
                <w:highlight w:val="none"/>
              </w:rPr>
              <w:t xml:space="preserve">、色块：保持整齐美观，修杂乱枝及藤蔓枯枝，做到线直面平；水生植物清理枯死。。　                                                             </w:t>
            </w:r>
            <w:r>
              <w:rPr>
                <w:rFonts w:hint="eastAsia" w:ascii="宋体" w:hAnsi="宋体" w:eastAsia="宋体" w:cs="宋体"/>
                <w:kern w:val="2"/>
                <w:sz w:val="18"/>
                <w:szCs w:val="18"/>
                <w:highlight w:val="none"/>
                <w:lang w:val="en-US" w:eastAsia="zh-CN"/>
              </w:rPr>
              <w:t>3</w:t>
            </w:r>
            <w:r>
              <w:rPr>
                <w:rFonts w:hint="eastAsia" w:ascii="宋体" w:hAnsi="宋体" w:eastAsia="宋体" w:cs="宋体"/>
                <w:kern w:val="2"/>
                <w:sz w:val="18"/>
                <w:szCs w:val="18"/>
                <w:highlight w:val="none"/>
              </w:rPr>
              <w:t>、修剪物及时清理。</w:t>
            </w:r>
          </w:p>
        </w:tc>
        <w:tc>
          <w:tcPr>
            <w:tcW w:w="0" w:type="auto"/>
            <w:noWrap w:val="0"/>
            <w:vAlign w:val="center"/>
          </w:tcPr>
          <w:p w14:paraId="021AE95F">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行道树法桐整形修剪，按照“三股六叉十二枝”的原则，以“七去五留”的手法进行人工造型修剪；行道树香樟的修剪保持树木原有形态，以抽稀、疏枝为主，使其树型圆整，通风透光，疏密适中；黄山栾剥萌蘖芽。                     2.花灌木的修剪应当适当区分：当年生枝条上开花的如月季、紫薇、木槿、石榴应当冬季修剪，主要以短截和疏枝为主；在二年生枝条上开花的如樱花、红叶李、梅树、桃树、迎春等应在花后修剪。在多年生枝条上开花的如紫荆、海棠等，修剪量较小，可适当摘心，水生植物（芦苇、菖蒲等）清理枯死。</w:t>
            </w:r>
          </w:p>
        </w:tc>
        <w:tc>
          <w:tcPr>
            <w:tcW w:w="0" w:type="auto"/>
            <w:vMerge w:val="restart"/>
            <w:noWrap w:val="0"/>
            <w:vAlign w:val="center"/>
          </w:tcPr>
          <w:p w14:paraId="1D15FFB7">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本月养护工作重点是防冻保暖、树干涂白、数据统计。</w:t>
            </w:r>
          </w:p>
        </w:tc>
      </w:tr>
      <w:tr w14:paraId="6A7C2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0" w:type="auto"/>
            <w:vMerge w:val="continue"/>
            <w:noWrap w:val="0"/>
            <w:vAlign w:val="center"/>
          </w:tcPr>
          <w:p w14:paraId="6E8B7A67">
            <w:pPr>
              <w:spacing w:line="240" w:lineRule="auto"/>
              <w:jc w:val="both"/>
              <w:rPr>
                <w:rFonts w:hint="eastAsia" w:ascii="宋体" w:hAnsi="宋体" w:eastAsia="宋体" w:cs="宋体"/>
                <w:b/>
                <w:bCs/>
                <w:kern w:val="2"/>
                <w:sz w:val="18"/>
                <w:szCs w:val="18"/>
                <w:highlight w:val="none"/>
              </w:rPr>
            </w:pPr>
          </w:p>
        </w:tc>
        <w:tc>
          <w:tcPr>
            <w:tcW w:w="1206" w:type="dxa"/>
            <w:vMerge w:val="continue"/>
            <w:noWrap w:val="0"/>
            <w:vAlign w:val="center"/>
          </w:tcPr>
          <w:p w14:paraId="1C2CB1B3">
            <w:pPr>
              <w:spacing w:line="240" w:lineRule="auto"/>
              <w:jc w:val="both"/>
              <w:rPr>
                <w:rFonts w:hint="eastAsia" w:ascii="宋体" w:hAnsi="宋体" w:eastAsia="宋体" w:cs="宋体"/>
                <w:kern w:val="2"/>
                <w:sz w:val="18"/>
                <w:szCs w:val="18"/>
                <w:highlight w:val="none"/>
              </w:rPr>
            </w:pPr>
          </w:p>
        </w:tc>
        <w:tc>
          <w:tcPr>
            <w:tcW w:w="5202" w:type="dxa"/>
            <w:vMerge w:val="continue"/>
            <w:noWrap w:val="0"/>
            <w:vAlign w:val="center"/>
          </w:tcPr>
          <w:p w14:paraId="7B9BEDF2">
            <w:pPr>
              <w:spacing w:line="240" w:lineRule="auto"/>
              <w:jc w:val="left"/>
              <w:rPr>
                <w:rFonts w:hint="eastAsia" w:ascii="宋体" w:hAnsi="宋体" w:eastAsia="宋体" w:cs="宋体"/>
                <w:kern w:val="2"/>
                <w:sz w:val="18"/>
                <w:szCs w:val="18"/>
                <w:highlight w:val="none"/>
              </w:rPr>
            </w:pPr>
          </w:p>
        </w:tc>
        <w:tc>
          <w:tcPr>
            <w:tcW w:w="0" w:type="auto"/>
            <w:noWrap w:val="0"/>
            <w:vAlign w:val="center"/>
          </w:tcPr>
          <w:p w14:paraId="11E23D3F">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绿篱、色块、草坪保持整齐美观，修杂乱枝及藤蔓枯枝，全区域修剪一次。</w:t>
            </w:r>
          </w:p>
        </w:tc>
        <w:tc>
          <w:tcPr>
            <w:tcW w:w="0" w:type="auto"/>
            <w:vMerge w:val="continue"/>
            <w:noWrap w:val="0"/>
            <w:vAlign w:val="center"/>
          </w:tcPr>
          <w:p w14:paraId="16AAD941">
            <w:pPr>
              <w:spacing w:line="240" w:lineRule="auto"/>
              <w:jc w:val="both"/>
              <w:rPr>
                <w:rFonts w:hint="eastAsia" w:ascii="宋体" w:hAnsi="宋体" w:eastAsia="宋体" w:cs="宋体"/>
                <w:kern w:val="2"/>
                <w:sz w:val="18"/>
                <w:szCs w:val="18"/>
                <w:highlight w:val="none"/>
              </w:rPr>
            </w:pPr>
          </w:p>
        </w:tc>
      </w:tr>
      <w:tr w14:paraId="22240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0" w:type="auto"/>
            <w:vMerge w:val="continue"/>
            <w:noWrap w:val="0"/>
            <w:vAlign w:val="center"/>
          </w:tcPr>
          <w:p w14:paraId="3CF8BBBA">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203B3087">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2、防冻保暖、抗灾</w:t>
            </w:r>
          </w:p>
        </w:tc>
        <w:tc>
          <w:tcPr>
            <w:tcW w:w="5202" w:type="dxa"/>
            <w:noWrap w:val="0"/>
            <w:vAlign w:val="center"/>
          </w:tcPr>
          <w:p w14:paraId="181398B7">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1、遇有大雪,对易遭雪压的植物要组织打雪。      　                                 2、天气干燥，在晴天对植物适当浇水，保持土壤湿润</w:t>
            </w:r>
          </w:p>
        </w:tc>
        <w:tc>
          <w:tcPr>
            <w:tcW w:w="0" w:type="auto"/>
            <w:noWrap w:val="0"/>
            <w:vAlign w:val="center"/>
          </w:tcPr>
          <w:p w14:paraId="70983EBE">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1.均需对行道树进行抗冻处理（根基培土），并在树木的休眠期内，进行扶正，易发生冻害树木主干包扎。                                      2.冬季积雪达到5—6CM时保证及时组织人员进行打雪。</w:t>
            </w:r>
          </w:p>
        </w:tc>
        <w:tc>
          <w:tcPr>
            <w:tcW w:w="0" w:type="auto"/>
            <w:vMerge w:val="continue"/>
            <w:noWrap w:val="0"/>
            <w:vAlign w:val="center"/>
          </w:tcPr>
          <w:p w14:paraId="36CE98B6">
            <w:pPr>
              <w:spacing w:line="240" w:lineRule="auto"/>
              <w:jc w:val="both"/>
              <w:rPr>
                <w:rFonts w:hint="eastAsia" w:ascii="宋体" w:hAnsi="宋体" w:eastAsia="宋体" w:cs="宋体"/>
                <w:kern w:val="2"/>
                <w:sz w:val="18"/>
                <w:szCs w:val="18"/>
                <w:highlight w:val="none"/>
              </w:rPr>
            </w:pPr>
          </w:p>
        </w:tc>
      </w:tr>
      <w:tr w14:paraId="6ED4E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9" w:hRule="atLeast"/>
        </w:trPr>
        <w:tc>
          <w:tcPr>
            <w:tcW w:w="0" w:type="auto"/>
            <w:vMerge w:val="continue"/>
            <w:noWrap w:val="0"/>
            <w:vAlign w:val="center"/>
          </w:tcPr>
          <w:p w14:paraId="5388093B">
            <w:pPr>
              <w:spacing w:line="240" w:lineRule="auto"/>
              <w:jc w:val="both"/>
              <w:rPr>
                <w:rFonts w:hint="eastAsia" w:ascii="宋体" w:hAnsi="宋体" w:eastAsia="宋体" w:cs="宋体"/>
                <w:b/>
                <w:bCs/>
                <w:kern w:val="2"/>
                <w:sz w:val="18"/>
                <w:szCs w:val="18"/>
                <w:highlight w:val="none"/>
              </w:rPr>
            </w:pPr>
          </w:p>
        </w:tc>
        <w:tc>
          <w:tcPr>
            <w:tcW w:w="1206" w:type="dxa"/>
            <w:noWrap w:val="0"/>
            <w:vAlign w:val="center"/>
          </w:tcPr>
          <w:p w14:paraId="7A773F75">
            <w:pPr>
              <w:spacing w:line="240" w:lineRule="auto"/>
              <w:jc w:val="both"/>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3、其它</w:t>
            </w:r>
          </w:p>
        </w:tc>
        <w:tc>
          <w:tcPr>
            <w:tcW w:w="5202" w:type="dxa"/>
            <w:noWrap w:val="0"/>
            <w:vAlign w:val="center"/>
          </w:tcPr>
          <w:p w14:paraId="41AF0442">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1、专职人员加强巡回检查，及时发现损坏绿地、苗木的案件，不属责职范围内的应及时报告。　　　　　　　　　　2、做好冬季防火工作。                           3、对行道树、单株乔木支撑或检查加固。　　　                                4、年度总结考评。</w:t>
            </w:r>
          </w:p>
        </w:tc>
        <w:tc>
          <w:tcPr>
            <w:tcW w:w="0" w:type="auto"/>
            <w:noWrap w:val="0"/>
            <w:vAlign w:val="center"/>
          </w:tcPr>
          <w:p w14:paraId="10A3E74B">
            <w:pPr>
              <w:spacing w:line="240" w:lineRule="auto"/>
              <w:jc w:val="left"/>
              <w:rPr>
                <w:rFonts w:hint="eastAsia" w:ascii="宋体" w:hAnsi="宋体" w:eastAsia="宋体" w:cs="宋体"/>
                <w:kern w:val="2"/>
                <w:sz w:val="18"/>
                <w:szCs w:val="18"/>
                <w:highlight w:val="none"/>
              </w:rPr>
            </w:pPr>
            <w:r>
              <w:rPr>
                <w:rFonts w:hint="eastAsia" w:ascii="宋体" w:hAnsi="宋体" w:eastAsia="宋体" w:cs="宋体"/>
                <w:kern w:val="2"/>
                <w:sz w:val="18"/>
                <w:szCs w:val="18"/>
                <w:highlight w:val="none"/>
              </w:rPr>
              <w:t>1、专职巡查人员和养护人员加强巡查。                                           2、绿地范围内如有乱开挖和损坏绿地、苗木的案件（事件），24小时内及时报告。　　                                                      3、及时检查行道树绑扎、立桩情况，发现松绑、铅丝嵌皮、摇桩等情况时立即整改。　　                                                     4</w:t>
            </w:r>
            <w:r>
              <w:rPr>
                <w:rFonts w:hint="eastAsia" w:ascii="宋体" w:hAnsi="宋体" w:eastAsia="宋体" w:cs="宋体"/>
                <w:kern w:val="2"/>
                <w:sz w:val="18"/>
                <w:szCs w:val="18"/>
                <w:highlight w:val="none"/>
                <w:lang w:eastAsia="zh-CN"/>
              </w:rPr>
              <w:t>、</w:t>
            </w:r>
            <w:r>
              <w:rPr>
                <w:rFonts w:hint="eastAsia" w:ascii="宋体" w:hAnsi="宋体" w:eastAsia="宋体" w:cs="宋体"/>
                <w:kern w:val="2"/>
                <w:sz w:val="18"/>
                <w:szCs w:val="18"/>
                <w:highlight w:val="none"/>
              </w:rPr>
              <w:t>养护单位做好一年养护总结，上报我单位</w:t>
            </w:r>
          </w:p>
        </w:tc>
        <w:tc>
          <w:tcPr>
            <w:tcW w:w="0" w:type="auto"/>
            <w:vMerge w:val="continue"/>
            <w:noWrap w:val="0"/>
            <w:vAlign w:val="center"/>
          </w:tcPr>
          <w:p w14:paraId="08BD39A6">
            <w:pPr>
              <w:spacing w:line="240" w:lineRule="auto"/>
              <w:jc w:val="both"/>
              <w:rPr>
                <w:rFonts w:hint="eastAsia" w:ascii="宋体" w:hAnsi="宋体" w:eastAsia="宋体" w:cs="宋体"/>
                <w:kern w:val="2"/>
                <w:sz w:val="18"/>
                <w:szCs w:val="18"/>
                <w:highlight w:val="none"/>
              </w:rPr>
            </w:pPr>
          </w:p>
        </w:tc>
      </w:tr>
    </w:tbl>
    <w:p w14:paraId="03E6EB12">
      <w:pPr>
        <w:spacing w:line="240" w:lineRule="auto"/>
        <w:rPr>
          <w:rFonts w:hint="eastAsia" w:ascii="宋体" w:hAnsi="宋体" w:eastAsia="宋体" w:cs="宋体"/>
          <w:b/>
          <w:bCs/>
          <w:kern w:val="0"/>
          <w:sz w:val="21"/>
          <w:szCs w:val="21"/>
          <w:highlight w:val="none"/>
        </w:rPr>
        <w:sectPr>
          <w:pgSz w:w="16840" w:h="11907" w:orient="landscape"/>
          <w:pgMar w:top="1701" w:right="1418" w:bottom="1134" w:left="1418" w:header="851" w:footer="851" w:gutter="0"/>
          <w:cols w:space="720" w:num="1"/>
          <w:docGrid w:linePitch="462" w:charSpace="0"/>
        </w:sectPr>
      </w:pPr>
    </w:p>
    <w:p w14:paraId="29282D30">
      <w:pPr>
        <w:keepNext/>
        <w:keepLines/>
        <w:spacing w:before="260" w:after="260" w:line="240" w:lineRule="auto"/>
        <w:jc w:val="center"/>
        <w:outlineLvl w:val="2"/>
        <w:rPr>
          <w:rFonts w:hint="eastAsia" w:ascii="宋体" w:hAnsi="宋体" w:eastAsia="宋体" w:cs="宋体"/>
          <w:b/>
          <w:bCs/>
          <w:kern w:val="2"/>
          <w:sz w:val="21"/>
          <w:szCs w:val="21"/>
          <w:highlight w:val="none"/>
        </w:rPr>
      </w:pPr>
      <w:r>
        <w:rPr>
          <w:rFonts w:hint="eastAsia" w:ascii="宋体" w:hAnsi="宋体" w:eastAsia="宋体" w:cs="宋体"/>
          <w:b/>
          <w:bCs/>
          <w:kern w:val="2"/>
          <w:sz w:val="21"/>
          <w:szCs w:val="21"/>
          <w:highlight w:val="none"/>
        </w:rPr>
        <w:t>常州市金坛区</w:t>
      </w:r>
      <w:r>
        <w:rPr>
          <w:rFonts w:hint="eastAsia" w:ascii="宋体" w:hAnsi="宋体" w:eastAsia="宋体" w:cs="宋体"/>
          <w:b/>
          <w:bCs/>
          <w:kern w:val="2"/>
          <w:sz w:val="21"/>
          <w:szCs w:val="21"/>
          <w:highlight w:val="none"/>
          <w:lang w:val="zh-CN"/>
        </w:rPr>
        <w:t>朱林镇绿化养护考核办法及</w:t>
      </w:r>
      <w:r>
        <w:rPr>
          <w:rFonts w:hint="eastAsia" w:ascii="宋体" w:hAnsi="宋体" w:eastAsia="宋体" w:cs="宋体"/>
          <w:b/>
          <w:bCs/>
          <w:kern w:val="2"/>
          <w:sz w:val="21"/>
          <w:szCs w:val="21"/>
          <w:highlight w:val="none"/>
        </w:rPr>
        <w:t>朱林镇绿化养护日常巡查考核扣分表</w:t>
      </w:r>
    </w:p>
    <w:p w14:paraId="47B2522D">
      <w:pPr>
        <w:keepNext/>
        <w:tabs>
          <w:tab w:val="left" w:pos="3360"/>
        </w:tabs>
        <w:spacing w:line="240" w:lineRule="auto"/>
        <w:jc w:val="center"/>
        <w:outlineLvl w:val="0"/>
        <w:rPr>
          <w:rFonts w:hint="eastAsia" w:ascii="宋体" w:hAnsi="宋体" w:eastAsia="宋体" w:cs="宋体"/>
          <w:kern w:val="2"/>
          <w:sz w:val="21"/>
          <w:szCs w:val="21"/>
          <w:highlight w:val="none"/>
        </w:rPr>
      </w:pPr>
      <w:r>
        <w:rPr>
          <w:rFonts w:hint="eastAsia" w:ascii="宋体" w:hAnsi="宋体" w:eastAsia="宋体" w:cs="宋体"/>
          <w:b/>
          <w:bCs/>
          <w:kern w:val="2"/>
          <w:sz w:val="21"/>
          <w:szCs w:val="21"/>
          <w:highlight w:val="none"/>
        </w:rPr>
        <w:t>朱林镇绿化养护考核办法（2020年）</w:t>
      </w:r>
    </w:p>
    <w:p w14:paraId="6B492A61">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为提高绿化养护水平，夯实管理基础，同时为配合常州城市长效综合管理考核，结合工作实际，制定本办法：</w:t>
      </w:r>
    </w:p>
    <w:p w14:paraId="65B62118">
      <w:pPr>
        <w:numPr>
          <w:ilvl w:val="0"/>
          <w:numId w:val="17"/>
        </w:num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常州市金坛区朱林镇综合行政执法局负责对朱林镇辖区范围内已建和在建绿化的管养质量进行考核，考核内容主要包括（1）绿地现场情况、（2）计划完成情况、（3）人员到岗情况、（4）整改情况。</w:t>
      </w:r>
    </w:p>
    <w:p w14:paraId="7D8C2DD3">
      <w:pPr>
        <w:numPr>
          <w:ilvl w:val="0"/>
          <w:numId w:val="17"/>
        </w:num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考核分朱林镇长效综合管理考核、不定期巡查考核和专项考核，朱林镇长效综合管理考核每月一次，不定期巡查考核每周不少于1次，专项考核根据需要进行，专项考核主要包含草坪生长季修剪考核，修剪季修剪工作考核等。</w:t>
      </w:r>
    </w:p>
    <w:p w14:paraId="4DC6FA1F">
      <w:pPr>
        <w:numPr>
          <w:ilvl w:val="0"/>
          <w:numId w:val="17"/>
        </w:num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绿地管理根据绿化养护评分表进行量化管理，基础分100分，95分以上为优秀，90分以上（含90分）为良好，80分以上（含80分）为及格，80分以下为不及格。</w:t>
      </w:r>
    </w:p>
    <w:p w14:paraId="6C62D8A4">
      <w:pPr>
        <w:numPr>
          <w:ilvl w:val="0"/>
          <w:numId w:val="17"/>
        </w:num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奖惩办法：</w:t>
      </w:r>
    </w:p>
    <w:p w14:paraId="404E6745">
      <w:pPr>
        <w:numPr>
          <w:ilvl w:val="0"/>
          <w:numId w:val="18"/>
        </w:num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每月考核扣分根据常州市金坛区城市长效综合管理考核扣分、朱林镇长效综合管理考核扣分、每月巡查考核扣分、城管数字扣分、12345平台扣分、上级专项检查扣分和舆情反映情况扣分等累计组成。</w:t>
      </w:r>
    </w:p>
    <w:p w14:paraId="65BAD7F9">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（2）考核成绩良好以上的不予经济处罚，考核成绩合格的按500元/分处罚，考核成绩不合格的按3000元/分处罚。</w:t>
      </w:r>
    </w:p>
    <w:p w14:paraId="437AE5A9">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（3）常州市金坛区朱林镇综合行政执法局签发整改通知后，在限期内不完成者，按1000元/天处罚，直至整改到位。</w:t>
      </w:r>
    </w:p>
    <w:p w14:paraId="5DC6A083">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（4）考勤抽查时，现场人数低于投标约定人数，每次按100元/人处罚，如因特殊情况导致无法到场的，乙方需以书面形式向甲方提出申请，并由甲方批准后可不予处罚。</w:t>
      </w:r>
    </w:p>
    <w:p w14:paraId="04A0B519">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（5）各养护标段自我发现问题上报，并及时整改到位的可不予扣分；因重要保障加班延时，义务突击整治或参加突发性应急预案义务劳动的，每次可加2-5分，加分值不超过该标段当月总扣分。</w:t>
      </w:r>
    </w:p>
    <w:p w14:paraId="1EA98F68">
      <w:pPr>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（6）考核结果由常州市金坛区朱林镇综合行政执法局、监理、养护单位现场负责人签字确认。</w:t>
      </w:r>
    </w:p>
    <w:p w14:paraId="425CCEC2">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（7）全年考核连续2次不及格或累计3次不及格的管养单位，将终止合同，并没收履约保证金，同时该公司在3年内不得参与朱林镇范围内的绿化养护、绿化施工等相关工作。</w:t>
      </w:r>
    </w:p>
    <w:p w14:paraId="2ABA8909">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（8）养护区域内如发现偷盗、破坏绿化，倾倒生活、建筑垃圾的情况发生，需第一时间上报常州市金坛区朱林镇综合行政执法局，否则按500元/次处罚。</w:t>
      </w:r>
    </w:p>
    <w:p w14:paraId="685858CC">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9）数字城管、12345平台、专项检查、上级部门点评、社情舆论等反映的问题经常州市金坛区朱林镇综合行政执法局核定确属养护单位责任的，参照对应扣分项扣分。养护单位因处理问题不及时、不到位，直接造成朱林镇在政府考核中扣分或二次投诉，当月考核基础分按80分计算。</w:t>
      </w:r>
    </w:p>
    <w:p w14:paraId="76A7E639">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 xml:space="preserve">（10）养护单位清理绿地内枯死苗木或严重影响园林景观的植物时必须通知常州市金坛区朱林镇综合行政执法局，以便常州市金坛区朱林镇综合行政执法局及时到现场确定原因，分清责任解决处理。如因养护单位养护不当造成损害的，养护单位应按原品种规格在市政绿化处规定时间内补植到位，并加强养护，确保成活（含苗木及种植等费用均由养护单位承担），未按规定时间补植到位的按1000元/天处罚，直至补植到位。未报备清理工作私自清理导致市政绿化处无法判定情况被发现的，除按上述要求养护单位补植到位，另按500元/次·株（或平米）处罚。     </w:t>
      </w:r>
    </w:p>
    <w:p w14:paraId="4F5E904C">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（11）相应处罚扣款在养护款结算时一并扣除。</w:t>
      </w:r>
    </w:p>
    <w:p w14:paraId="3AABF348">
      <w:pPr>
        <w:spacing w:line="360" w:lineRule="auto"/>
        <w:ind w:firstLine="420" w:firstLineChars="20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常州市金坛区朱林镇综合行政执法局根据考核要求，秉承公平、公开、公正的的原则进行考核。</w:t>
      </w:r>
    </w:p>
    <w:p w14:paraId="150B34A2">
      <w:pPr>
        <w:spacing w:line="360" w:lineRule="auto"/>
        <w:rPr>
          <w:rFonts w:hint="eastAsia" w:ascii="宋体" w:hAnsi="宋体" w:eastAsia="宋体" w:cs="宋体"/>
          <w:kern w:val="2"/>
          <w:sz w:val="21"/>
          <w:szCs w:val="21"/>
          <w:highlight w:val="none"/>
        </w:rPr>
      </w:pPr>
    </w:p>
    <w:p w14:paraId="202239FD">
      <w:pPr>
        <w:spacing w:line="360" w:lineRule="auto"/>
        <w:jc w:val="righ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常州市金坛区朱林镇综合行政执法局</w:t>
      </w:r>
    </w:p>
    <w:p w14:paraId="5935A4B5">
      <w:pPr>
        <w:spacing w:line="240" w:lineRule="auto"/>
        <w:rPr>
          <w:rFonts w:hint="eastAsia" w:ascii="宋体" w:hAnsi="宋体" w:eastAsia="宋体" w:cs="宋体"/>
          <w:kern w:val="2"/>
          <w:sz w:val="21"/>
          <w:szCs w:val="21"/>
          <w:highlight w:val="none"/>
        </w:rPr>
      </w:pPr>
    </w:p>
    <w:p w14:paraId="3E199168">
      <w:pPr>
        <w:keepNext/>
        <w:keepLines/>
        <w:widowControl w:val="0"/>
        <w:autoSpaceDE w:val="0"/>
        <w:autoSpaceDN w:val="0"/>
        <w:adjustRightInd w:val="0"/>
        <w:spacing w:before="360" w:after="120" w:line="240" w:lineRule="auto"/>
        <w:jc w:val="left"/>
        <w:outlineLvl w:val="2"/>
        <w:rPr>
          <w:rFonts w:hint="eastAsia" w:ascii="宋体" w:hAnsi="宋体" w:eastAsia="宋体" w:cs="宋体"/>
          <w:b/>
          <w:kern w:val="0"/>
          <w:sz w:val="21"/>
          <w:szCs w:val="21"/>
          <w:highlight w:val="none"/>
          <w:u w:val="single"/>
          <w:lang w:val="en-US" w:eastAsia="zh-CN" w:bidi="ar-SA"/>
        </w:rPr>
      </w:pPr>
    </w:p>
    <w:p w14:paraId="2AC76EE2">
      <w:pPr>
        <w:rPr>
          <w:rFonts w:hint="eastAsia" w:ascii="宋体" w:hAnsi="宋体" w:eastAsia="宋体" w:cs="宋体"/>
          <w:kern w:val="2"/>
          <w:sz w:val="21"/>
          <w:szCs w:val="21"/>
          <w:highlight w:val="none"/>
          <w:lang w:eastAsia="zh-CN"/>
        </w:rPr>
      </w:pPr>
    </w:p>
    <w:p w14:paraId="146029B9">
      <w:pPr>
        <w:keepNext/>
        <w:keepLines/>
        <w:widowControl w:val="0"/>
        <w:autoSpaceDE w:val="0"/>
        <w:autoSpaceDN w:val="0"/>
        <w:adjustRightInd w:val="0"/>
        <w:spacing w:before="360" w:after="120"/>
        <w:jc w:val="left"/>
        <w:outlineLvl w:val="2"/>
        <w:rPr>
          <w:rFonts w:hint="eastAsia" w:ascii="宋体" w:hAnsi="宋体" w:eastAsia="宋体" w:cs="宋体"/>
          <w:b/>
          <w:kern w:val="0"/>
          <w:sz w:val="21"/>
          <w:szCs w:val="21"/>
          <w:highlight w:val="none"/>
          <w:u w:val="single"/>
          <w:lang w:val="en-US" w:eastAsia="zh-CN" w:bidi="ar-SA"/>
        </w:rPr>
      </w:pPr>
    </w:p>
    <w:p w14:paraId="202882EC">
      <w:pPr>
        <w:rPr>
          <w:rFonts w:hint="eastAsia" w:ascii="宋体" w:hAnsi="宋体" w:eastAsia="宋体" w:cs="宋体"/>
          <w:kern w:val="2"/>
          <w:sz w:val="21"/>
          <w:szCs w:val="21"/>
          <w:highlight w:val="none"/>
          <w:lang w:eastAsia="zh-CN"/>
        </w:rPr>
      </w:pPr>
    </w:p>
    <w:p w14:paraId="65349501">
      <w:pPr>
        <w:keepNext/>
        <w:keepLines/>
        <w:widowControl w:val="0"/>
        <w:autoSpaceDE w:val="0"/>
        <w:autoSpaceDN w:val="0"/>
        <w:adjustRightInd w:val="0"/>
        <w:spacing w:before="360" w:after="120"/>
        <w:jc w:val="left"/>
        <w:outlineLvl w:val="2"/>
        <w:rPr>
          <w:rFonts w:hint="eastAsia" w:ascii="宋体" w:hAnsi="宋体" w:eastAsia="宋体" w:cs="宋体"/>
          <w:b/>
          <w:kern w:val="0"/>
          <w:sz w:val="21"/>
          <w:szCs w:val="21"/>
          <w:highlight w:val="none"/>
          <w:u w:val="single"/>
          <w:lang w:val="en-US" w:eastAsia="zh-CN" w:bidi="ar-SA"/>
        </w:rPr>
      </w:pPr>
    </w:p>
    <w:p w14:paraId="7F0E12F2">
      <w:pPr>
        <w:rPr>
          <w:rFonts w:hint="eastAsia" w:ascii="宋体" w:hAnsi="宋体" w:eastAsia="宋体" w:cs="宋体"/>
          <w:kern w:val="2"/>
          <w:sz w:val="21"/>
          <w:szCs w:val="21"/>
          <w:highlight w:val="none"/>
          <w:lang w:eastAsia="zh-CN"/>
        </w:rPr>
      </w:pPr>
    </w:p>
    <w:p w14:paraId="38490597">
      <w:pPr>
        <w:keepNext/>
        <w:keepLines/>
        <w:widowControl w:val="0"/>
        <w:autoSpaceDE w:val="0"/>
        <w:autoSpaceDN w:val="0"/>
        <w:adjustRightInd w:val="0"/>
        <w:spacing w:before="360" w:after="120"/>
        <w:jc w:val="left"/>
        <w:outlineLvl w:val="2"/>
        <w:rPr>
          <w:rFonts w:hint="eastAsia" w:ascii="宋体" w:hAnsi="宋体" w:eastAsia="宋体" w:cs="宋体"/>
          <w:b/>
          <w:kern w:val="0"/>
          <w:sz w:val="21"/>
          <w:szCs w:val="21"/>
          <w:highlight w:val="none"/>
          <w:u w:val="single"/>
          <w:lang w:val="en-US" w:eastAsia="zh-CN" w:bidi="ar-SA"/>
        </w:rPr>
      </w:pPr>
    </w:p>
    <w:p w14:paraId="6B3C7A82">
      <w:pPr>
        <w:rPr>
          <w:rFonts w:hint="eastAsia" w:ascii="宋体" w:hAnsi="宋体" w:eastAsia="宋体" w:cs="宋体"/>
          <w:kern w:val="2"/>
          <w:sz w:val="21"/>
          <w:szCs w:val="21"/>
          <w:highlight w:val="none"/>
          <w:lang w:eastAsia="zh-CN"/>
        </w:rPr>
      </w:pPr>
    </w:p>
    <w:p w14:paraId="04DB1773">
      <w:pPr>
        <w:keepNext/>
        <w:keepLines/>
        <w:widowControl w:val="0"/>
        <w:autoSpaceDE w:val="0"/>
        <w:autoSpaceDN w:val="0"/>
        <w:adjustRightInd w:val="0"/>
        <w:spacing w:before="360" w:after="120"/>
        <w:jc w:val="left"/>
        <w:outlineLvl w:val="2"/>
        <w:rPr>
          <w:rFonts w:hint="eastAsia" w:ascii="宋体" w:hAnsi="宋体" w:eastAsia="宋体" w:cs="宋体"/>
          <w:b/>
          <w:kern w:val="0"/>
          <w:sz w:val="21"/>
          <w:szCs w:val="21"/>
          <w:highlight w:val="none"/>
          <w:u w:val="single"/>
          <w:lang w:val="en-US" w:eastAsia="zh-CN" w:bidi="ar-SA"/>
        </w:rPr>
      </w:pPr>
    </w:p>
    <w:p w14:paraId="2158B9C4">
      <w:pPr>
        <w:rPr>
          <w:rFonts w:hint="eastAsia" w:ascii="宋体" w:hAnsi="宋体" w:eastAsia="宋体" w:cs="宋体"/>
          <w:kern w:val="2"/>
          <w:sz w:val="21"/>
          <w:szCs w:val="21"/>
          <w:highlight w:val="none"/>
          <w:lang w:eastAsia="zh-CN"/>
        </w:rPr>
      </w:pPr>
    </w:p>
    <w:p w14:paraId="0BEC26C0">
      <w:pPr>
        <w:keepNext/>
        <w:keepLines/>
        <w:widowControl w:val="0"/>
        <w:autoSpaceDE w:val="0"/>
        <w:autoSpaceDN w:val="0"/>
        <w:adjustRightInd w:val="0"/>
        <w:spacing w:before="360" w:after="120"/>
        <w:jc w:val="left"/>
        <w:outlineLvl w:val="2"/>
        <w:rPr>
          <w:rFonts w:hint="eastAsia" w:ascii="宋体" w:hAnsi="宋体" w:eastAsia="宋体" w:cs="宋体"/>
          <w:b/>
          <w:kern w:val="0"/>
          <w:sz w:val="21"/>
          <w:szCs w:val="21"/>
          <w:highlight w:val="none"/>
          <w:u w:val="single"/>
          <w:lang w:val="en-US" w:eastAsia="zh-CN" w:bidi="ar-SA"/>
        </w:rPr>
      </w:pPr>
    </w:p>
    <w:p w14:paraId="08EC40E8">
      <w:pPr>
        <w:rPr>
          <w:rFonts w:hint="eastAsia" w:ascii="宋体" w:hAnsi="宋体" w:eastAsia="宋体" w:cs="宋体"/>
          <w:kern w:val="2"/>
          <w:sz w:val="21"/>
          <w:szCs w:val="21"/>
          <w:highlight w:val="none"/>
          <w:lang w:eastAsia="zh-CN"/>
        </w:rPr>
      </w:pPr>
    </w:p>
    <w:p w14:paraId="1BCCCDE3">
      <w:pPr>
        <w:keepNext/>
        <w:keepLines/>
        <w:widowControl w:val="0"/>
        <w:autoSpaceDE w:val="0"/>
        <w:autoSpaceDN w:val="0"/>
        <w:adjustRightInd w:val="0"/>
        <w:spacing w:before="360" w:after="120"/>
        <w:jc w:val="left"/>
        <w:outlineLvl w:val="2"/>
        <w:rPr>
          <w:rFonts w:hint="eastAsia" w:ascii="宋体" w:hAnsi="宋体" w:eastAsia="宋体" w:cs="宋体"/>
          <w:b/>
          <w:kern w:val="0"/>
          <w:sz w:val="21"/>
          <w:szCs w:val="21"/>
          <w:highlight w:val="none"/>
          <w:u w:val="single"/>
          <w:lang w:val="en-US" w:eastAsia="zh-CN" w:bidi="ar-SA"/>
        </w:rPr>
      </w:pPr>
    </w:p>
    <w:p w14:paraId="6C09FFCD">
      <w:pPr>
        <w:rPr>
          <w:rFonts w:hint="eastAsia" w:ascii="宋体" w:hAnsi="宋体" w:eastAsia="宋体" w:cs="宋体"/>
          <w:kern w:val="2"/>
          <w:sz w:val="21"/>
          <w:szCs w:val="21"/>
          <w:highlight w:val="none"/>
          <w:lang w:eastAsia="zh-CN"/>
        </w:rPr>
      </w:pPr>
    </w:p>
    <w:p w14:paraId="213A2356">
      <w:pPr>
        <w:keepNext/>
        <w:keepLines/>
        <w:widowControl w:val="0"/>
        <w:autoSpaceDE w:val="0"/>
        <w:autoSpaceDN w:val="0"/>
        <w:adjustRightInd w:val="0"/>
        <w:spacing w:before="360" w:after="120"/>
        <w:jc w:val="left"/>
        <w:outlineLvl w:val="2"/>
        <w:rPr>
          <w:rFonts w:hint="eastAsia" w:ascii="宋体" w:hAnsi="宋体" w:eastAsia="宋体" w:cs="宋体"/>
          <w:b/>
          <w:kern w:val="0"/>
          <w:sz w:val="21"/>
          <w:szCs w:val="21"/>
          <w:highlight w:val="none"/>
          <w:u w:val="single"/>
          <w:lang w:val="en-US" w:eastAsia="zh-CN" w:bidi="ar-SA"/>
        </w:rPr>
      </w:pPr>
    </w:p>
    <w:p w14:paraId="2B866C8E">
      <w:pPr>
        <w:rPr>
          <w:rFonts w:hint="eastAsia" w:ascii="宋体" w:hAnsi="宋体" w:eastAsia="宋体" w:cs="宋体"/>
          <w:kern w:val="2"/>
          <w:sz w:val="21"/>
          <w:szCs w:val="21"/>
          <w:highlight w:val="none"/>
          <w:lang w:eastAsia="zh-CN"/>
        </w:rPr>
      </w:pPr>
    </w:p>
    <w:p w14:paraId="7D8AA555">
      <w:pPr>
        <w:keepNext/>
        <w:keepLines/>
        <w:widowControl w:val="0"/>
        <w:autoSpaceDE w:val="0"/>
        <w:autoSpaceDN w:val="0"/>
        <w:adjustRightInd w:val="0"/>
        <w:spacing w:before="360" w:after="120"/>
        <w:jc w:val="left"/>
        <w:outlineLvl w:val="2"/>
        <w:rPr>
          <w:rFonts w:hint="eastAsia" w:ascii="宋体" w:hAnsi="Times New Roman" w:eastAsia="宋体" w:cs="Times New Roman"/>
          <w:b/>
          <w:kern w:val="0"/>
          <w:sz w:val="24"/>
          <w:szCs w:val="20"/>
          <w:highlight w:val="none"/>
          <w:u w:val="single"/>
          <w:lang w:val="en-US" w:eastAsia="zh-CN" w:bidi="ar-SA"/>
        </w:rPr>
      </w:pPr>
    </w:p>
    <w:p w14:paraId="5F548F98">
      <w:pPr>
        <w:keepNext/>
        <w:keepLines/>
        <w:widowControl w:val="0"/>
        <w:autoSpaceDE w:val="0"/>
        <w:autoSpaceDN w:val="0"/>
        <w:adjustRightInd w:val="0"/>
        <w:spacing w:before="360" w:after="120"/>
        <w:jc w:val="left"/>
        <w:outlineLvl w:val="2"/>
        <w:rPr>
          <w:rFonts w:hint="eastAsia" w:ascii="宋体" w:hAnsi="Times New Roman" w:eastAsia="宋体" w:cs="Times New Roman"/>
          <w:b/>
          <w:kern w:val="0"/>
          <w:sz w:val="24"/>
          <w:szCs w:val="20"/>
          <w:highlight w:val="none"/>
          <w:u w:val="single"/>
          <w:lang w:val="en-US" w:eastAsia="zh-CN" w:bidi="ar-SA"/>
        </w:rPr>
      </w:pPr>
    </w:p>
    <w:p w14:paraId="516B1657">
      <w:pPr>
        <w:keepNext/>
        <w:keepLines/>
        <w:widowControl w:val="0"/>
        <w:autoSpaceDE w:val="0"/>
        <w:autoSpaceDN w:val="0"/>
        <w:adjustRightInd w:val="0"/>
        <w:spacing w:before="360" w:after="120"/>
        <w:jc w:val="left"/>
        <w:outlineLvl w:val="2"/>
        <w:rPr>
          <w:rFonts w:hint="eastAsia" w:ascii="宋体" w:hAnsi="Times New Roman" w:eastAsia="宋体" w:cs="Times New Roman"/>
          <w:b/>
          <w:kern w:val="0"/>
          <w:sz w:val="24"/>
          <w:szCs w:val="20"/>
          <w:highlight w:val="none"/>
          <w:u w:val="single"/>
          <w:lang w:val="en-US" w:eastAsia="zh-CN" w:bidi="ar-SA"/>
        </w:rPr>
      </w:pPr>
    </w:p>
    <w:p w14:paraId="774AC9A2">
      <w:pPr>
        <w:rPr>
          <w:rFonts w:hint="eastAsia" w:ascii="宋体" w:hAnsi="宋体" w:eastAsia="宋体" w:cs="宋体"/>
          <w:kern w:val="2"/>
          <w:sz w:val="21"/>
          <w:szCs w:val="21"/>
          <w:highlight w:val="none"/>
          <w:lang w:eastAsia="zh-CN"/>
        </w:rPr>
      </w:pPr>
    </w:p>
    <w:p w14:paraId="2E99C25E">
      <w:pPr>
        <w:keepNext/>
        <w:keepLines/>
        <w:spacing w:before="260" w:after="260" w:line="240" w:lineRule="auto"/>
        <w:jc w:val="center"/>
        <w:outlineLvl w:val="2"/>
        <w:rPr>
          <w:rFonts w:hint="eastAsia" w:ascii="宋体" w:hAnsi="宋体" w:eastAsia="宋体" w:cs="宋体"/>
          <w:b/>
          <w:bCs/>
          <w:kern w:val="2"/>
          <w:sz w:val="21"/>
          <w:szCs w:val="21"/>
          <w:highlight w:val="none"/>
        </w:rPr>
      </w:pPr>
      <w:r>
        <w:rPr>
          <w:rFonts w:hint="eastAsia" w:ascii="宋体" w:hAnsi="宋体" w:eastAsia="宋体" w:cs="宋体"/>
          <w:b/>
          <w:bCs/>
          <w:color w:val="000000"/>
          <w:kern w:val="0"/>
          <w:sz w:val="21"/>
          <w:szCs w:val="21"/>
          <w:highlight w:val="none"/>
          <w:lang w:bidi="ar"/>
        </w:rPr>
        <w:t>朱林镇绿化养护日常巡查考核扣分表</w:t>
      </w:r>
    </w:p>
    <w:tbl>
      <w:tblPr>
        <w:tblStyle w:val="30"/>
        <w:tblW w:w="8980" w:type="dxa"/>
        <w:tblInd w:w="0" w:type="dxa"/>
        <w:tblLayout w:type="fixed"/>
        <w:tblCellMar>
          <w:top w:w="0" w:type="dxa"/>
          <w:left w:w="0" w:type="dxa"/>
          <w:bottom w:w="0" w:type="dxa"/>
          <w:right w:w="0" w:type="dxa"/>
        </w:tblCellMar>
      </w:tblPr>
      <w:tblGrid>
        <w:gridCol w:w="1280"/>
        <w:gridCol w:w="6817"/>
        <w:gridCol w:w="883"/>
      </w:tblGrid>
      <w:tr w14:paraId="4639B0F9">
        <w:tblPrEx>
          <w:tblCellMar>
            <w:top w:w="0" w:type="dxa"/>
            <w:left w:w="0" w:type="dxa"/>
            <w:bottom w:w="0" w:type="dxa"/>
            <w:right w:w="0" w:type="dxa"/>
          </w:tblCellMar>
        </w:tblPrEx>
        <w:trPr>
          <w:trHeight w:val="530" w:hRule="atLeast"/>
        </w:trPr>
        <w:tc>
          <w:tcPr>
            <w:tcW w:w="8980"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7764E7">
            <w:pPr>
              <w:widowControl/>
              <w:spacing w:line="240" w:lineRule="auto"/>
              <w:jc w:val="center"/>
              <w:textAlignment w:val="center"/>
              <w:rPr>
                <w:rFonts w:hint="eastAsia" w:ascii="宋体" w:hAnsi="宋体" w:eastAsia="宋体" w:cs="宋体"/>
                <w:b/>
                <w:color w:val="000000"/>
                <w:kern w:val="2"/>
                <w:sz w:val="18"/>
                <w:szCs w:val="18"/>
                <w:highlight w:val="none"/>
              </w:rPr>
            </w:pPr>
            <w:r>
              <w:rPr>
                <w:rFonts w:hint="eastAsia" w:ascii="宋体" w:hAnsi="宋体" w:eastAsia="宋体" w:cs="宋体"/>
                <w:b/>
                <w:color w:val="000000"/>
                <w:kern w:val="0"/>
                <w:sz w:val="18"/>
                <w:szCs w:val="18"/>
                <w:highlight w:val="none"/>
                <w:lang w:bidi="ar"/>
              </w:rPr>
              <w:t>朱林镇绿化养护日常巡查考核扣分表</w:t>
            </w:r>
          </w:p>
        </w:tc>
      </w:tr>
      <w:tr w14:paraId="2F018A15">
        <w:tblPrEx>
          <w:tblCellMar>
            <w:top w:w="0" w:type="dxa"/>
            <w:left w:w="0" w:type="dxa"/>
            <w:bottom w:w="0" w:type="dxa"/>
            <w:right w:w="0" w:type="dxa"/>
          </w:tblCellMar>
        </w:tblPrEx>
        <w:trPr>
          <w:trHeight w:val="400" w:hRule="atLeast"/>
        </w:trPr>
        <w:tc>
          <w:tcPr>
            <w:tcW w:w="12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B9E4DE">
            <w:pPr>
              <w:widowControl/>
              <w:spacing w:line="240" w:lineRule="auto"/>
              <w:jc w:val="center"/>
              <w:textAlignment w:val="center"/>
              <w:rPr>
                <w:rFonts w:hint="eastAsia" w:ascii="宋体" w:hAnsi="宋体" w:eastAsia="宋体" w:cs="宋体"/>
                <w:b/>
                <w:color w:val="000000"/>
                <w:kern w:val="2"/>
                <w:sz w:val="18"/>
                <w:szCs w:val="18"/>
                <w:highlight w:val="none"/>
              </w:rPr>
            </w:pPr>
            <w:r>
              <w:rPr>
                <w:rFonts w:hint="eastAsia" w:ascii="宋体" w:hAnsi="宋体" w:eastAsia="宋体" w:cs="宋体"/>
                <w:b/>
                <w:color w:val="000000"/>
                <w:kern w:val="0"/>
                <w:sz w:val="18"/>
                <w:szCs w:val="18"/>
                <w:highlight w:val="none"/>
                <w:lang w:bidi="ar"/>
              </w:rPr>
              <w:t>项 目</w:t>
            </w:r>
          </w:p>
        </w:tc>
        <w:tc>
          <w:tcPr>
            <w:tcW w:w="681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19621F2">
            <w:pPr>
              <w:widowControl/>
              <w:spacing w:line="240" w:lineRule="auto"/>
              <w:jc w:val="center"/>
              <w:textAlignment w:val="center"/>
              <w:rPr>
                <w:rFonts w:hint="eastAsia" w:ascii="宋体" w:hAnsi="宋体" w:eastAsia="宋体" w:cs="宋体"/>
                <w:b/>
                <w:color w:val="000000"/>
                <w:kern w:val="2"/>
                <w:sz w:val="18"/>
                <w:szCs w:val="18"/>
                <w:highlight w:val="none"/>
              </w:rPr>
            </w:pPr>
            <w:r>
              <w:rPr>
                <w:rFonts w:hint="eastAsia" w:ascii="宋体" w:hAnsi="宋体" w:eastAsia="宋体" w:cs="宋体"/>
                <w:b/>
                <w:color w:val="000000"/>
                <w:kern w:val="0"/>
                <w:sz w:val="18"/>
                <w:szCs w:val="18"/>
                <w:highlight w:val="none"/>
                <w:lang w:bidi="ar"/>
              </w:rPr>
              <w:t>考核内容</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AA6629">
            <w:pPr>
              <w:widowControl/>
              <w:spacing w:line="240" w:lineRule="auto"/>
              <w:jc w:val="center"/>
              <w:textAlignment w:val="center"/>
              <w:rPr>
                <w:rFonts w:hint="eastAsia" w:ascii="宋体" w:hAnsi="宋体" w:eastAsia="宋体" w:cs="宋体"/>
                <w:b/>
                <w:color w:val="000000"/>
                <w:kern w:val="2"/>
                <w:sz w:val="18"/>
                <w:szCs w:val="18"/>
                <w:highlight w:val="none"/>
              </w:rPr>
            </w:pPr>
            <w:r>
              <w:rPr>
                <w:rFonts w:hint="eastAsia" w:ascii="宋体" w:hAnsi="宋体" w:eastAsia="宋体" w:cs="宋体"/>
                <w:b/>
                <w:color w:val="000000"/>
                <w:kern w:val="0"/>
                <w:sz w:val="18"/>
                <w:szCs w:val="18"/>
                <w:highlight w:val="none"/>
                <w:lang w:bidi="ar"/>
              </w:rPr>
              <w:t>扣分</w:t>
            </w:r>
          </w:p>
        </w:tc>
      </w:tr>
      <w:tr w14:paraId="431AB579">
        <w:tblPrEx>
          <w:tblCellMar>
            <w:top w:w="0" w:type="dxa"/>
            <w:left w:w="0" w:type="dxa"/>
            <w:bottom w:w="0" w:type="dxa"/>
            <w:right w:w="0" w:type="dxa"/>
          </w:tblCellMar>
        </w:tblPrEx>
        <w:trPr>
          <w:trHeight w:val="400" w:hRule="atLeast"/>
        </w:trPr>
        <w:tc>
          <w:tcPr>
            <w:tcW w:w="128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BA97416">
            <w:pPr>
              <w:widowControl/>
              <w:spacing w:line="240" w:lineRule="auto"/>
              <w:jc w:val="center"/>
              <w:textAlignment w:val="center"/>
              <w:rPr>
                <w:rFonts w:hint="eastAsia" w:ascii="宋体" w:hAnsi="宋体" w:eastAsia="宋体" w:cs="宋体"/>
                <w:b/>
                <w:color w:val="000000"/>
                <w:kern w:val="0"/>
                <w:sz w:val="18"/>
                <w:szCs w:val="18"/>
                <w:highlight w:val="none"/>
                <w:lang w:eastAsia="zh-CN" w:bidi="ar"/>
              </w:rPr>
            </w:pPr>
            <w:r>
              <w:rPr>
                <w:rFonts w:hint="eastAsia" w:ascii="宋体" w:hAnsi="宋体" w:eastAsia="宋体" w:cs="宋体"/>
                <w:b/>
                <w:color w:val="000000"/>
                <w:kern w:val="0"/>
                <w:sz w:val="18"/>
                <w:szCs w:val="18"/>
                <w:highlight w:val="none"/>
                <w:lang w:bidi="ar"/>
              </w:rPr>
              <w:t>杂物</w:t>
            </w:r>
          </w:p>
          <w:p w14:paraId="20E19CE6">
            <w:pPr>
              <w:widowControl/>
              <w:spacing w:line="240" w:lineRule="auto"/>
              <w:jc w:val="center"/>
              <w:textAlignment w:val="center"/>
              <w:rPr>
                <w:rFonts w:hint="eastAsia" w:ascii="宋体" w:hAnsi="宋体" w:eastAsia="宋体" w:cs="宋体"/>
                <w:b/>
                <w:color w:val="000000"/>
                <w:kern w:val="2"/>
                <w:sz w:val="18"/>
                <w:szCs w:val="18"/>
                <w:highlight w:val="none"/>
              </w:rPr>
            </w:pPr>
            <w:r>
              <w:rPr>
                <w:rFonts w:hint="eastAsia" w:ascii="宋体" w:hAnsi="宋体" w:eastAsia="宋体" w:cs="宋体"/>
                <w:b/>
                <w:color w:val="000000"/>
                <w:kern w:val="0"/>
                <w:sz w:val="18"/>
                <w:szCs w:val="18"/>
                <w:highlight w:val="none"/>
                <w:lang w:bidi="ar"/>
              </w:rPr>
              <w:t>清理</w:t>
            </w:r>
          </w:p>
        </w:tc>
        <w:tc>
          <w:tcPr>
            <w:tcW w:w="6817"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3028959F">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1、未及时清除死树、修剪物、枯枝叶，发现一处扣1分。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11FF68BC">
            <w:pPr>
              <w:spacing w:line="240" w:lineRule="auto"/>
              <w:rPr>
                <w:rFonts w:hint="eastAsia" w:ascii="宋体" w:hAnsi="宋体" w:eastAsia="宋体" w:cs="宋体"/>
                <w:color w:val="000000"/>
                <w:kern w:val="2"/>
                <w:sz w:val="18"/>
                <w:szCs w:val="18"/>
                <w:highlight w:val="none"/>
              </w:rPr>
            </w:pPr>
          </w:p>
        </w:tc>
      </w:tr>
      <w:tr w14:paraId="5FD746B3">
        <w:tblPrEx>
          <w:tblCellMar>
            <w:top w:w="0" w:type="dxa"/>
            <w:left w:w="0" w:type="dxa"/>
            <w:bottom w:w="0" w:type="dxa"/>
            <w:right w:w="0" w:type="dxa"/>
          </w:tblCellMar>
        </w:tblPrEx>
        <w:trPr>
          <w:trHeight w:val="400" w:hRule="atLeast"/>
        </w:trPr>
        <w:tc>
          <w:tcPr>
            <w:tcW w:w="12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45506EE">
            <w:pPr>
              <w:spacing w:line="240" w:lineRule="auto"/>
              <w:jc w:val="center"/>
              <w:rPr>
                <w:rFonts w:hint="eastAsia" w:ascii="宋体" w:hAnsi="宋体" w:eastAsia="宋体" w:cs="宋体"/>
                <w:b/>
                <w:color w:val="000000"/>
                <w:kern w:val="2"/>
                <w:sz w:val="18"/>
                <w:szCs w:val="18"/>
                <w:highlight w:val="none"/>
              </w:rPr>
            </w:pPr>
          </w:p>
        </w:tc>
        <w:tc>
          <w:tcPr>
            <w:tcW w:w="6817"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1C31EB26">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2、绿地内有工业垃圾、建筑垃圾等未及时上报，发现一处扣0.2分。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73C3EAA5">
            <w:pPr>
              <w:spacing w:line="240" w:lineRule="auto"/>
              <w:rPr>
                <w:rFonts w:hint="eastAsia" w:ascii="宋体" w:hAnsi="宋体" w:eastAsia="宋体" w:cs="宋体"/>
                <w:color w:val="000000"/>
                <w:kern w:val="2"/>
                <w:sz w:val="18"/>
                <w:szCs w:val="18"/>
                <w:highlight w:val="none"/>
              </w:rPr>
            </w:pPr>
          </w:p>
        </w:tc>
      </w:tr>
      <w:tr w14:paraId="7B01C9FC">
        <w:tblPrEx>
          <w:tblCellMar>
            <w:top w:w="0" w:type="dxa"/>
            <w:left w:w="0" w:type="dxa"/>
            <w:bottom w:w="0" w:type="dxa"/>
            <w:right w:w="0" w:type="dxa"/>
          </w:tblCellMar>
        </w:tblPrEx>
        <w:trPr>
          <w:trHeight w:val="400" w:hRule="atLeast"/>
        </w:trPr>
        <w:tc>
          <w:tcPr>
            <w:tcW w:w="128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D08041">
            <w:pPr>
              <w:widowControl/>
              <w:spacing w:line="240" w:lineRule="auto"/>
              <w:jc w:val="center"/>
              <w:textAlignment w:val="center"/>
              <w:rPr>
                <w:rFonts w:hint="eastAsia" w:ascii="宋体" w:hAnsi="宋体" w:eastAsia="宋体" w:cs="宋体"/>
                <w:b/>
                <w:color w:val="000000"/>
                <w:kern w:val="2"/>
                <w:sz w:val="18"/>
                <w:szCs w:val="18"/>
                <w:highlight w:val="none"/>
              </w:rPr>
            </w:pPr>
            <w:r>
              <w:rPr>
                <w:rFonts w:hint="eastAsia" w:ascii="宋体" w:hAnsi="宋体" w:eastAsia="宋体" w:cs="宋体"/>
                <w:b/>
                <w:color w:val="000000"/>
                <w:kern w:val="0"/>
                <w:sz w:val="18"/>
                <w:szCs w:val="18"/>
                <w:highlight w:val="none"/>
                <w:lang w:bidi="ar"/>
              </w:rPr>
              <w:t>杂草控制</w:t>
            </w:r>
          </w:p>
        </w:tc>
        <w:tc>
          <w:tcPr>
            <w:tcW w:w="6817" w:type="dxa"/>
            <w:tcBorders>
              <w:top w:val="nil"/>
              <w:left w:val="nil"/>
              <w:bottom w:val="single" w:color="000000" w:sz="4" w:space="0"/>
              <w:right w:val="single" w:color="000000" w:sz="4" w:space="0"/>
            </w:tcBorders>
            <w:noWrap w:val="0"/>
            <w:tcMar>
              <w:top w:w="15" w:type="dxa"/>
              <w:left w:w="15" w:type="dxa"/>
              <w:right w:w="15" w:type="dxa"/>
            </w:tcMar>
            <w:vAlign w:val="center"/>
          </w:tcPr>
          <w:p w14:paraId="39EAE04C">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1、出现高出绿篱色块的杂草，影响景观面貌的杂草，发现一处扣1分。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2408E4E2">
            <w:pPr>
              <w:spacing w:line="240" w:lineRule="auto"/>
              <w:rPr>
                <w:rFonts w:hint="eastAsia" w:ascii="宋体" w:hAnsi="宋体" w:eastAsia="宋体" w:cs="宋体"/>
                <w:color w:val="000000"/>
                <w:kern w:val="2"/>
                <w:sz w:val="18"/>
                <w:szCs w:val="18"/>
                <w:highlight w:val="none"/>
              </w:rPr>
            </w:pPr>
          </w:p>
        </w:tc>
      </w:tr>
      <w:tr w14:paraId="5FD55149">
        <w:tblPrEx>
          <w:tblCellMar>
            <w:top w:w="0" w:type="dxa"/>
            <w:left w:w="0" w:type="dxa"/>
            <w:bottom w:w="0" w:type="dxa"/>
            <w:right w:w="0" w:type="dxa"/>
          </w:tblCellMar>
        </w:tblPrEx>
        <w:trPr>
          <w:trHeight w:val="400" w:hRule="atLeast"/>
        </w:trPr>
        <w:tc>
          <w:tcPr>
            <w:tcW w:w="12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BFF6EA0">
            <w:pPr>
              <w:spacing w:line="240" w:lineRule="auto"/>
              <w:jc w:val="center"/>
              <w:rPr>
                <w:rFonts w:hint="eastAsia" w:ascii="宋体" w:hAnsi="宋体" w:eastAsia="宋体" w:cs="宋体"/>
                <w:b/>
                <w:color w:val="000000"/>
                <w:kern w:val="2"/>
                <w:sz w:val="18"/>
                <w:szCs w:val="18"/>
                <w:highlight w:val="none"/>
              </w:rPr>
            </w:pPr>
          </w:p>
        </w:tc>
        <w:tc>
          <w:tcPr>
            <w:tcW w:w="6817"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1A02568C">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2、出现大型、恶性、缠绕性杂草，明显影响景观面貌的杂草，每处扣1分。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71373495">
            <w:pPr>
              <w:spacing w:line="240" w:lineRule="auto"/>
              <w:rPr>
                <w:rFonts w:hint="eastAsia" w:ascii="宋体" w:hAnsi="宋体" w:eastAsia="宋体" w:cs="宋体"/>
                <w:color w:val="000000"/>
                <w:kern w:val="2"/>
                <w:sz w:val="18"/>
                <w:szCs w:val="18"/>
                <w:highlight w:val="none"/>
              </w:rPr>
            </w:pPr>
          </w:p>
        </w:tc>
      </w:tr>
      <w:tr w14:paraId="67325BF3">
        <w:tblPrEx>
          <w:tblCellMar>
            <w:top w:w="0" w:type="dxa"/>
            <w:left w:w="0" w:type="dxa"/>
            <w:bottom w:w="0" w:type="dxa"/>
            <w:right w:w="0" w:type="dxa"/>
          </w:tblCellMar>
        </w:tblPrEx>
        <w:trPr>
          <w:trHeight w:val="400" w:hRule="atLeast"/>
        </w:trPr>
        <w:tc>
          <w:tcPr>
            <w:tcW w:w="12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3C1BB5E">
            <w:pPr>
              <w:spacing w:line="240" w:lineRule="auto"/>
              <w:jc w:val="center"/>
              <w:rPr>
                <w:rFonts w:hint="eastAsia" w:ascii="宋体" w:hAnsi="宋体" w:eastAsia="宋体" w:cs="宋体"/>
                <w:b/>
                <w:color w:val="000000"/>
                <w:kern w:val="2"/>
                <w:sz w:val="18"/>
                <w:szCs w:val="18"/>
                <w:highlight w:val="none"/>
              </w:rPr>
            </w:pPr>
          </w:p>
        </w:tc>
        <w:tc>
          <w:tcPr>
            <w:tcW w:w="6817"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15A685AA">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3、林下未控制杂草高度(不得高于30cm),或出现缠绕性杂草，每处扣1分。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46CACC57">
            <w:pPr>
              <w:spacing w:line="240" w:lineRule="auto"/>
              <w:rPr>
                <w:rFonts w:hint="eastAsia" w:ascii="宋体" w:hAnsi="宋体" w:eastAsia="宋体" w:cs="宋体"/>
                <w:color w:val="000000"/>
                <w:kern w:val="2"/>
                <w:sz w:val="18"/>
                <w:szCs w:val="18"/>
                <w:highlight w:val="none"/>
              </w:rPr>
            </w:pPr>
          </w:p>
        </w:tc>
      </w:tr>
      <w:tr w14:paraId="59389DE7">
        <w:tblPrEx>
          <w:tblCellMar>
            <w:top w:w="0" w:type="dxa"/>
            <w:left w:w="0" w:type="dxa"/>
            <w:bottom w:w="0" w:type="dxa"/>
            <w:right w:w="0" w:type="dxa"/>
          </w:tblCellMar>
        </w:tblPrEx>
        <w:trPr>
          <w:trHeight w:val="400" w:hRule="atLeast"/>
        </w:trPr>
        <w:tc>
          <w:tcPr>
            <w:tcW w:w="128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9209977">
            <w:pPr>
              <w:widowControl/>
              <w:spacing w:line="240" w:lineRule="auto"/>
              <w:jc w:val="center"/>
              <w:textAlignment w:val="center"/>
              <w:rPr>
                <w:rFonts w:hint="eastAsia" w:ascii="宋体" w:hAnsi="宋体" w:eastAsia="宋体" w:cs="宋体"/>
                <w:b/>
                <w:color w:val="000000"/>
                <w:kern w:val="0"/>
                <w:sz w:val="18"/>
                <w:szCs w:val="18"/>
                <w:highlight w:val="none"/>
                <w:lang w:eastAsia="zh-CN" w:bidi="ar"/>
              </w:rPr>
            </w:pPr>
            <w:r>
              <w:rPr>
                <w:rFonts w:hint="eastAsia" w:ascii="宋体" w:hAnsi="宋体" w:eastAsia="宋体" w:cs="宋体"/>
                <w:b/>
                <w:color w:val="000000"/>
                <w:kern w:val="0"/>
                <w:sz w:val="18"/>
                <w:szCs w:val="18"/>
                <w:highlight w:val="none"/>
                <w:lang w:bidi="ar"/>
              </w:rPr>
              <w:t>常规</w:t>
            </w:r>
          </w:p>
          <w:p w14:paraId="25FED553">
            <w:pPr>
              <w:widowControl/>
              <w:spacing w:line="240" w:lineRule="auto"/>
              <w:jc w:val="center"/>
              <w:textAlignment w:val="center"/>
              <w:rPr>
                <w:rFonts w:hint="eastAsia" w:ascii="宋体" w:hAnsi="宋体" w:eastAsia="宋体" w:cs="宋体"/>
                <w:b/>
                <w:color w:val="000000"/>
                <w:kern w:val="2"/>
                <w:sz w:val="18"/>
                <w:szCs w:val="18"/>
                <w:highlight w:val="none"/>
              </w:rPr>
            </w:pPr>
            <w:r>
              <w:rPr>
                <w:rFonts w:hint="eastAsia" w:ascii="宋体" w:hAnsi="宋体" w:eastAsia="宋体" w:cs="宋体"/>
                <w:b/>
                <w:color w:val="000000"/>
                <w:kern w:val="0"/>
                <w:sz w:val="18"/>
                <w:szCs w:val="18"/>
                <w:highlight w:val="none"/>
                <w:lang w:bidi="ar"/>
              </w:rPr>
              <w:t>修剪</w:t>
            </w:r>
          </w:p>
        </w:tc>
        <w:tc>
          <w:tcPr>
            <w:tcW w:w="6817"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129551C2">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1、草坪未及时修剪，每处扣1分。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0B0D5D4F">
            <w:pPr>
              <w:spacing w:line="240" w:lineRule="auto"/>
              <w:rPr>
                <w:rFonts w:hint="eastAsia" w:ascii="宋体" w:hAnsi="宋体" w:eastAsia="宋体" w:cs="宋体"/>
                <w:color w:val="000000"/>
                <w:kern w:val="2"/>
                <w:sz w:val="18"/>
                <w:szCs w:val="18"/>
                <w:highlight w:val="none"/>
              </w:rPr>
            </w:pPr>
          </w:p>
        </w:tc>
      </w:tr>
      <w:tr w14:paraId="3E31231D">
        <w:tblPrEx>
          <w:tblCellMar>
            <w:top w:w="0" w:type="dxa"/>
            <w:left w:w="0" w:type="dxa"/>
            <w:bottom w:w="0" w:type="dxa"/>
            <w:right w:w="0" w:type="dxa"/>
          </w:tblCellMar>
        </w:tblPrEx>
        <w:trPr>
          <w:trHeight w:val="400" w:hRule="atLeast"/>
        </w:trPr>
        <w:tc>
          <w:tcPr>
            <w:tcW w:w="12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FE3232">
            <w:pPr>
              <w:spacing w:line="240" w:lineRule="auto"/>
              <w:jc w:val="center"/>
              <w:rPr>
                <w:rFonts w:hint="eastAsia" w:ascii="宋体" w:hAnsi="宋体" w:eastAsia="宋体" w:cs="宋体"/>
                <w:b/>
                <w:color w:val="000000"/>
                <w:kern w:val="2"/>
                <w:sz w:val="18"/>
                <w:szCs w:val="18"/>
                <w:highlight w:val="none"/>
              </w:rPr>
            </w:pPr>
          </w:p>
        </w:tc>
        <w:tc>
          <w:tcPr>
            <w:tcW w:w="6817"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317F1040">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2、绿篱、球类、色块未及时或未按要求修剪，每处扣1分。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5AC30AF7">
            <w:pPr>
              <w:spacing w:line="240" w:lineRule="auto"/>
              <w:rPr>
                <w:rFonts w:hint="eastAsia" w:ascii="宋体" w:hAnsi="宋体" w:eastAsia="宋体" w:cs="宋体"/>
                <w:color w:val="000000"/>
                <w:kern w:val="2"/>
                <w:sz w:val="18"/>
                <w:szCs w:val="18"/>
                <w:highlight w:val="none"/>
              </w:rPr>
            </w:pPr>
          </w:p>
        </w:tc>
      </w:tr>
      <w:tr w14:paraId="583C7D9A">
        <w:tblPrEx>
          <w:tblCellMar>
            <w:top w:w="0" w:type="dxa"/>
            <w:left w:w="0" w:type="dxa"/>
            <w:bottom w:w="0" w:type="dxa"/>
            <w:right w:w="0" w:type="dxa"/>
          </w:tblCellMar>
        </w:tblPrEx>
        <w:trPr>
          <w:trHeight w:val="400" w:hRule="atLeast"/>
        </w:trPr>
        <w:tc>
          <w:tcPr>
            <w:tcW w:w="12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4AD740B">
            <w:pPr>
              <w:spacing w:line="240" w:lineRule="auto"/>
              <w:jc w:val="center"/>
              <w:rPr>
                <w:rFonts w:hint="eastAsia" w:ascii="宋体" w:hAnsi="宋体" w:eastAsia="宋体" w:cs="宋体"/>
                <w:b/>
                <w:color w:val="000000"/>
                <w:kern w:val="2"/>
                <w:sz w:val="18"/>
                <w:szCs w:val="18"/>
                <w:highlight w:val="none"/>
              </w:rPr>
            </w:pPr>
          </w:p>
        </w:tc>
        <w:tc>
          <w:tcPr>
            <w:tcW w:w="6817"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2960642E">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3、萌蘖枝未修剪（超过2枝以上未修剪），每处扣1分。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5C33D04E">
            <w:pPr>
              <w:spacing w:line="240" w:lineRule="auto"/>
              <w:rPr>
                <w:rFonts w:hint="eastAsia" w:ascii="宋体" w:hAnsi="宋体" w:eastAsia="宋体" w:cs="宋体"/>
                <w:color w:val="000000"/>
                <w:kern w:val="2"/>
                <w:sz w:val="18"/>
                <w:szCs w:val="18"/>
                <w:highlight w:val="none"/>
              </w:rPr>
            </w:pPr>
          </w:p>
        </w:tc>
      </w:tr>
      <w:tr w14:paraId="2E030F7F">
        <w:tblPrEx>
          <w:tblCellMar>
            <w:top w:w="0" w:type="dxa"/>
            <w:left w:w="0" w:type="dxa"/>
            <w:bottom w:w="0" w:type="dxa"/>
            <w:right w:w="0" w:type="dxa"/>
          </w:tblCellMar>
        </w:tblPrEx>
        <w:trPr>
          <w:trHeight w:val="400" w:hRule="atLeast"/>
        </w:trPr>
        <w:tc>
          <w:tcPr>
            <w:tcW w:w="12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93B32E4">
            <w:pPr>
              <w:spacing w:line="240" w:lineRule="auto"/>
              <w:jc w:val="center"/>
              <w:rPr>
                <w:rFonts w:hint="eastAsia" w:ascii="宋体" w:hAnsi="宋体" w:eastAsia="宋体" w:cs="宋体"/>
                <w:b/>
                <w:color w:val="000000"/>
                <w:kern w:val="2"/>
                <w:sz w:val="18"/>
                <w:szCs w:val="18"/>
                <w:highlight w:val="none"/>
              </w:rPr>
            </w:pPr>
          </w:p>
        </w:tc>
        <w:tc>
          <w:tcPr>
            <w:tcW w:w="6817"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55E0C407">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4、行道树枝下高过低（低于2.5米），每处扣1分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1144ECEF">
            <w:pPr>
              <w:spacing w:line="240" w:lineRule="auto"/>
              <w:rPr>
                <w:rFonts w:hint="eastAsia" w:ascii="宋体" w:hAnsi="宋体" w:eastAsia="宋体" w:cs="宋体"/>
                <w:color w:val="000000"/>
                <w:kern w:val="2"/>
                <w:sz w:val="18"/>
                <w:szCs w:val="18"/>
                <w:highlight w:val="none"/>
              </w:rPr>
            </w:pPr>
          </w:p>
        </w:tc>
      </w:tr>
      <w:tr w14:paraId="04730C6E">
        <w:tblPrEx>
          <w:tblCellMar>
            <w:top w:w="0" w:type="dxa"/>
            <w:left w:w="0" w:type="dxa"/>
            <w:bottom w:w="0" w:type="dxa"/>
            <w:right w:w="0" w:type="dxa"/>
          </w:tblCellMar>
        </w:tblPrEx>
        <w:trPr>
          <w:trHeight w:val="400" w:hRule="atLeast"/>
        </w:trPr>
        <w:tc>
          <w:tcPr>
            <w:tcW w:w="12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17614E">
            <w:pPr>
              <w:spacing w:line="240" w:lineRule="auto"/>
              <w:jc w:val="center"/>
              <w:rPr>
                <w:rFonts w:hint="eastAsia" w:ascii="宋体" w:hAnsi="宋体" w:eastAsia="宋体" w:cs="宋体"/>
                <w:b/>
                <w:color w:val="000000"/>
                <w:kern w:val="2"/>
                <w:sz w:val="18"/>
                <w:szCs w:val="18"/>
                <w:highlight w:val="none"/>
              </w:rPr>
            </w:pPr>
          </w:p>
        </w:tc>
        <w:tc>
          <w:tcPr>
            <w:tcW w:w="6817"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3B9A7D76">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5、花后未及时修剪，每处扣1分。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45BD7E49">
            <w:pPr>
              <w:spacing w:line="240" w:lineRule="auto"/>
              <w:rPr>
                <w:rFonts w:hint="eastAsia" w:ascii="宋体" w:hAnsi="宋体" w:eastAsia="宋体" w:cs="宋体"/>
                <w:color w:val="000000"/>
                <w:kern w:val="2"/>
                <w:sz w:val="18"/>
                <w:szCs w:val="18"/>
                <w:highlight w:val="none"/>
              </w:rPr>
            </w:pPr>
          </w:p>
        </w:tc>
      </w:tr>
      <w:tr w14:paraId="45F64321">
        <w:tblPrEx>
          <w:tblCellMar>
            <w:top w:w="0" w:type="dxa"/>
            <w:left w:w="0" w:type="dxa"/>
            <w:bottom w:w="0" w:type="dxa"/>
            <w:right w:w="0" w:type="dxa"/>
          </w:tblCellMar>
        </w:tblPrEx>
        <w:trPr>
          <w:trHeight w:val="400" w:hRule="atLeast"/>
        </w:trPr>
        <w:tc>
          <w:tcPr>
            <w:tcW w:w="12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8F9CC11">
            <w:pPr>
              <w:spacing w:line="240" w:lineRule="auto"/>
              <w:jc w:val="center"/>
              <w:rPr>
                <w:rFonts w:hint="eastAsia" w:ascii="宋体" w:hAnsi="宋体" w:eastAsia="宋体" w:cs="宋体"/>
                <w:b/>
                <w:color w:val="000000"/>
                <w:kern w:val="2"/>
                <w:sz w:val="18"/>
                <w:szCs w:val="18"/>
                <w:highlight w:val="none"/>
              </w:rPr>
            </w:pPr>
          </w:p>
        </w:tc>
        <w:tc>
          <w:tcPr>
            <w:tcW w:w="6817"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529A07B8">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6、修剪伤口超过5cm未做保护的，每处扣1分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202EFA70">
            <w:pPr>
              <w:spacing w:line="240" w:lineRule="auto"/>
              <w:rPr>
                <w:rFonts w:hint="eastAsia" w:ascii="宋体" w:hAnsi="宋体" w:eastAsia="宋体" w:cs="宋体"/>
                <w:color w:val="000000"/>
                <w:kern w:val="2"/>
                <w:sz w:val="18"/>
                <w:szCs w:val="18"/>
                <w:highlight w:val="none"/>
              </w:rPr>
            </w:pPr>
          </w:p>
        </w:tc>
      </w:tr>
      <w:tr w14:paraId="76E4F023">
        <w:tblPrEx>
          <w:tblCellMar>
            <w:top w:w="0" w:type="dxa"/>
            <w:left w:w="0" w:type="dxa"/>
            <w:bottom w:w="0" w:type="dxa"/>
            <w:right w:w="0" w:type="dxa"/>
          </w:tblCellMar>
        </w:tblPrEx>
        <w:trPr>
          <w:trHeight w:val="400" w:hRule="atLeast"/>
        </w:trPr>
        <w:tc>
          <w:tcPr>
            <w:tcW w:w="12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2784BF">
            <w:pPr>
              <w:spacing w:line="240" w:lineRule="auto"/>
              <w:jc w:val="center"/>
              <w:rPr>
                <w:rFonts w:hint="eastAsia" w:ascii="宋体" w:hAnsi="宋体" w:eastAsia="宋体" w:cs="宋体"/>
                <w:b/>
                <w:color w:val="000000"/>
                <w:kern w:val="2"/>
                <w:sz w:val="18"/>
                <w:szCs w:val="18"/>
                <w:highlight w:val="none"/>
              </w:rPr>
            </w:pPr>
          </w:p>
        </w:tc>
        <w:tc>
          <w:tcPr>
            <w:tcW w:w="6817"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41624DA8">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7、草坪边缘未分隔，没处扣1分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16D77B26">
            <w:pPr>
              <w:spacing w:line="240" w:lineRule="auto"/>
              <w:rPr>
                <w:rFonts w:hint="eastAsia" w:ascii="宋体" w:hAnsi="宋体" w:eastAsia="宋体" w:cs="宋体"/>
                <w:color w:val="000000"/>
                <w:kern w:val="2"/>
                <w:sz w:val="18"/>
                <w:szCs w:val="18"/>
                <w:highlight w:val="none"/>
              </w:rPr>
            </w:pPr>
          </w:p>
        </w:tc>
      </w:tr>
      <w:tr w14:paraId="225C3EE2">
        <w:tblPrEx>
          <w:tblCellMar>
            <w:top w:w="0" w:type="dxa"/>
            <w:left w:w="0" w:type="dxa"/>
            <w:bottom w:w="0" w:type="dxa"/>
            <w:right w:w="0" w:type="dxa"/>
          </w:tblCellMar>
        </w:tblPrEx>
        <w:trPr>
          <w:trHeight w:val="400" w:hRule="atLeast"/>
        </w:trPr>
        <w:tc>
          <w:tcPr>
            <w:tcW w:w="12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42C5573">
            <w:pPr>
              <w:spacing w:line="240" w:lineRule="auto"/>
              <w:jc w:val="center"/>
              <w:rPr>
                <w:rFonts w:hint="eastAsia" w:ascii="宋体" w:hAnsi="宋体" w:eastAsia="宋体" w:cs="宋体"/>
                <w:b/>
                <w:color w:val="000000"/>
                <w:kern w:val="2"/>
                <w:sz w:val="18"/>
                <w:szCs w:val="18"/>
                <w:highlight w:val="none"/>
              </w:rPr>
            </w:pPr>
          </w:p>
        </w:tc>
        <w:tc>
          <w:tcPr>
            <w:tcW w:w="6817"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5393C48F">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8、草坪分隔沟不规范（宽度小于10cm，深度小于5cm），每处扣1分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747EC500">
            <w:pPr>
              <w:spacing w:line="240" w:lineRule="auto"/>
              <w:rPr>
                <w:rFonts w:hint="eastAsia" w:ascii="宋体" w:hAnsi="宋体" w:eastAsia="宋体" w:cs="宋体"/>
                <w:color w:val="000000"/>
                <w:kern w:val="2"/>
                <w:sz w:val="18"/>
                <w:szCs w:val="18"/>
                <w:highlight w:val="none"/>
              </w:rPr>
            </w:pPr>
          </w:p>
        </w:tc>
      </w:tr>
      <w:tr w14:paraId="49C6DBFB">
        <w:tblPrEx>
          <w:tblCellMar>
            <w:top w:w="0" w:type="dxa"/>
            <w:left w:w="0" w:type="dxa"/>
            <w:bottom w:w="0" w:type="dxa"/>
            <w:right w:w="0" w:type="dxa"/>
          </w:tblCellMar>
        </w:tblPrEx>
        <w:trPr>
          <w:trHeight w:val="600" w:hRule="atLeast"/>
        </w:trPr>
        <w:tc>
          <w:tcPr>
            <w:tcW w:w="128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6D54C7A">
            <w:pPr>
              <w:widowControl/>
              <w:spacing w:line="240" w:lineRule="auto"/>
              <w:jc w:val="center"/>
              <w:textAlignment w:val="center"/>
              <w:rPr>
                <w:rFonts w:hint="eastAsia" w:ascii="宋体" w:hAnsi="宋体" w:eastAsia="宋体" w:cs="宋体"/>
                <w:b/>
                <w:color w:val="000000"/>
                <w:kern w:val="2"/>
                <w:sz w:val="18"/>
                <w:szCs w:val="18"/>
                <w:highlight w:val="none"/>
              </w:rPr>
            </w:pPr>
            <w:r>
              <w:rPr>
                <w:rFonts w:hint="eastAsia" w:ascii="宋体" w:hAnsi="宋体" w:eastAsia="宋体" w:cs="宋体"/>
                <w:b/>
                <w:color w:val="000000"/>
                <w:kern w:val="0"/>
                <w:sz w:val="18"/>
                <w:szCs w:val="18"/>
                <w:highlight w:val="none"/>
                <w:lang w:bidi="ar"/>
              </w:rPr>
              <w:t>支撑保护</w:t>
            </w:r>
          </w:p>
        </w:tc>
        <w:tc>
          <w:tcPr>
            <w:tcW w:w="6817"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3D94FC81">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1、高大乔木、易倾斜树木未及时支撑牢固，发现倒伏每处扣1分，发现倾斜每处扣0.5分。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63D4BDA9">
            <w:pPr>
              <w:spacing w:line="240" w:lineRule="auto"/>
              <w:rPr>
                <w:rFonts w:hint="eastAsia" w:ascii="宋体" w:hAnsi="宋体" w:eastAsia="宋体" w:cs="宋体"/>
                <w:color w:val="000000"/>
                <w:kern w:val="2"/>
                <w:sz w:val="18"/>
                <w:szCs w:val="18"/>
                <w:highlight w:val="none"/>
              </w:rPr>
            </w:pPr>
          </w:p>
        </w:tc>
      </w:tr>
      <w:tr w14:paraId="1A2C665C">
        <w:tblPrEx>
          <w:tblCellMar>
            <w:top w:w="0" w:type="dxa"/>
            <w:left w:w="0" w:type="dxa"/>
            <w:bottom w:w="0" w:type="dxa"/>
            <w:right w:w="0" w:type="dxa"/>
          </w:tblCellMar>
        </w:tblPrEx>
        <w:trPr>
          <w:trHeight w:val="400" w:hRule="atLeast"/>
        </w:trPr>
        <w:tc>
          <w:tcPr>
            <w:tcW w:w="12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6F7A094">
            <w:pPr>
              <w:spacing w:line="240" w:lineRule="auto"/>
              <w:jc w:val="center"/>
              <w:rPr>
                <w:rFonts w:hint="eastAsia" w:ascii="宋体" w:hAnsi="宋体" w:eastAsia="宋体" w:cs="宋体"/>
                <w:b/>
                <w:color w:val="000000"/>
                <w:kern w:val="2"/>
                <w:sz w:val="18"/>
                <w:szCs w:val="18"/>
                <w:highlight w:val="none"/>
              </w:rPr>
            </w:pPr>
          </w:p>
        </w:tc>
        <w:tc>
          <w:tcPr>
            <w:tcW w:w="6817"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0BD64C81">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2、树上无缠绕吊挂物品、无铅丝绑扎，每处扣1分。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08A53002">
            <w:pPr>
              <w:spacing w:line="240" w:lineRule="auto"/>
              <w:rPr>
                <w:rFonts w:hint="eastAsia" w:ascii="宋体" w:hAnsi="宋体" w:eastAsia="宋体" w:cs="宋体"/>
                <w:color w:val="000000"/>
                <w:kern w:val="2"/>
                <w:sz w:val="18"/>
                <w:szCs w:val="18"/>
                <w:highlight w:val="none"/>
              </w:rPr>
            </w:pPr>
          </w:p>
        </w:tc>
      </w:tr>
      <w:tr w14:paraId="345C185F">
        <w:tblPrEx>
          <w:tblCellMar>
            <w:top w:w="0" w:type="dxa"/>
            <w:left w:w="0" w:type="dxa"/>
            <w:bottom w:w="0" w:type="dxa"/>
            <w:right w:w="0" w:type="dxa"/>
          </w:tblCellMar>
        </w:tblPrEx>
        <w:trPr>
          <w:trHeight w:val="400" w:hRule="atLeast"/>
        </w:trPr>
        <w:tc>
          <w:tcPr>
            <w:tcW w:w="128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4972D4F">
            <w:pPr>
              <w:widowControl/>
              <w:spacing w:line="240" w:lineRule="auto"/>
              <w:jc w:val="center"/>
              <w:textAlignment w:val="center"/>
              <w:rPr>
                <w:rFonts w:hint="eastAsia" w:ascii="宋体" w:hAnsi="宋体" w:eastAsia="宋体" w:cs="宋体"/>
                <w:b/>
                <w:color w:val="000000"/>
                <w:kern w:val="2"/>
                <w:sz w:val="18"/>
                <w:szCs w:val="18"/>
                <w:highlight w:val="none"/>
              </w:rPr>
            </w:pPr>
            <w:r>
              <w:rPr>
                <w:rFonts w:hint="eastAsia" w:ascii="宋体" w:hAnsi="宋体" w:eastAsia="宋体" w:cs="宋体"/>
                <w:b/>
                <w:color w:val="000000"/>
                <w:kern w:val="0"/>
                <w:sz w:val="18"/>
                <w:szCs w:val="18"/>
                <w:highlight w:val="none"/>
                <w:lang w:bidi="ar"/>
              </w:rPr>
              <w:t>绿化保护</w:t>
            </w:r>
          </w:p>
        </w:tc>
        <w:tc>
          <w:tcPr>
            <w:tcW w:w="6817"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539BAC14">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1、草坪、色块、乔灌木因管理不善引起缺损、空秃的，每处扣1分。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31137218">
            <w:pPr>
              <w:spacing w:line="240" w:lineRule="auto"/>
              <w:rPr>
                <w:rFonts w:hint="eastAsia" w:ascii="宋体" w:hAnsi="宋体" w:eastAsia="宋体" w:cs="宋体"/>
                <w:color w:val="000000"/>
                <w:kern w:val="2"/>
                <w:sz w:val="18"/>
                <w:szCs w:val="18"/>
                <w:highlight w:val="none"/>
              </w:rPr>
            </w:pPr>
          </w:p>
        </w:tc>
      </w:tr>
      <w:tr w14:paraId="3E3A28A2">
        <w:tblPrEx>
          <w:tblCellMar>
            <w:top w:w="0" w:type="dxa"/>
            <w:left w:w="0" w:type="dxa"/>
            <w:bottom w:w="0" w:type="dxa"/>
            <w:right w:w="0" w:type="dxa"/>
          </w:tblCellMar>
        </w:tblPrEx>
        <w:trPr>
          <w:trHeight w:val="400" w:hRule="atLeast"/>
        </w:trPr>
        <w:tc>
          <w:tcPr>
            <w:tcW w:w="12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F237A44">
            <w:pPr>
              <w:spacing w:line="240" w:lineRule="auto"/>
              <w:jc w:val="center"/>
              <w:rPr>
                <w:rFonts w:hint="eastAsia" w:ascii="宋体" w:hAnsi="宋体" w:eastAsia="宋体" w:cs="宋体"/>
                <w:b/>
                <w:color w:val="000000"/>
                <w:kern w:val="2"/>
                <w:sz w:val="18"/>
                <w:szCs w:val="18"/>
                <w:highlight w:val="none"/>
              </w:rPr>
            </w:pPr>
          </w:p>
        </w:tc>
        <w:tc>
          <w:tcPr>
            <w:tcW w:w="6817"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778355C0">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2、出现毁绿或违规开挖等现象未及时制止，并未上报，每起扣1分。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5631A7DE">
            <w:pPr>
              <w:spacing w:line="240" w:lineRule="auto"/>
              <w:rPr>
                <w:rFonts w:hint="eastAsia" w:ascii="宋体" w:hAnsi="宋体" w:eastAsia="宋体" w:cs="宋体"/>
                <w:color w:val="000000"/>
                <w:kern w:val="2"/>
                <w:sz w:val="18"/>
                <w:szCs w:val="18"/>
                <w:highlight w:val="none"/>
              </w:rPr>
            </w:pPr>
          </w:p>
        </w:tc>
      </w:tr>
      <w:tr w14:paraId="7E003678">
        <w:tblPrEx>
          <w:tblCellMar>
            <w:top w:w="0" w:type="dxa"/>
            <w:left w:w="0" w:type="dxa"/>
            <w:bottom w:w="0" w:type="dxa"/>
            <w:right w:w="0" w:type="dxa"/>
          </w:tblCellMar>
        </w:tblPrEx>
        <w:trPr>
          <w:trHeight w:val="400" w:hRule="atLeast"/>
        </w:trPr>
        <w:tc>
          <w:tcPr>
            <w:tcW w:w="12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F47D9E">
            <w:pPr>
              <w:spacing w:line="240" w:lineRule="auto"/>
              <w:jc w:val="center"/>
              <w:rPr>
                <w:rFonts w:hint="eastAsia" w:ascii="宋体" w:hAnsi="宋体" w:eastAsia="宋体" w:cs="宋体"/>
                <w:b/>
                <w:color w:val="000000"/>
                <w:kern w:val="2"/>
                <w:sz w:val="18"/>
                <w:szCs w:val="18"/>
                <w:highlight w:val="none"/>
              </w:rPr>
            </w:pPr>
          </w:p>
        </w:tc>
        <w:tc>
          <w:tcPr>
            <w:tcW w:w="6817"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0B2CEC7F">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3、绿地内停放车辆，发现一起扣1分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47DA0AEC">
            <w:pPr>
              <w:spacing w:line="240" w:lineRule="auto"/>
              <w:rPr>
                <w:rFonts w:hint="eastAsia" w:ascii="宋体" w:hAnsi="宋体" w:eastAsia="宋体" w:cs="宋体"/>
                <w:color w:val="000000"/>
                <w:kern w:val="2"/>
                <w:sz w:val="18"/>
                <w:szCs w:val="18"/>
                <w:highlight w:val="none"/>
              </w:rPr>
            </w:pPr>
          </w:p>
        </w:tc>
      </w:tr>
      <w:tr w14:paraId="45164C1E">
        <w:tblPrEx>
          <w:tblCellMar>
            <w:top w:w="0" w:type="dxa"/>
            <w:left w:w="0" w:type="dxa"/>
            <w:bottom w:w="0" w:type="dxa"/>
            <w:right w:w="0" w:type="dxa"/>
          </w:tblCellMar>
        </w:tblPrEx>
        <w:trPr>
          <w:trHeight w:val="400" w:hRule="atLeast"/>
        </w:trPr>
        <w:tc>
          <w:tcPr>
            <w:tcW w:w="12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C32786">
            <w:pPr>
              <w:spacing w:line="240" w:lineRule="auto"/>
              <w:jc w:val="center"/>
              <w:rPr>
                <w:rFonts w:hint="eastAsia" w:ascii="宋体" w:hAnsi="宋体" w:eastAsia="宋体" w:cs="宋体"/>
                <w:b/>
                <w:color w:val="000000"/>
                <w:kern w:val="2"/>
                <w:sz w:val="18"/>
                <w:szCs w:val="18"/>
                <w:highlight w:val="none"/>
              </w:rPr>
            </w:pPr>
          </w:p>
        </w:tc>
        <w:tc>
          <w:tcPr>
            <w:tcW w:w="6817"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551176D1">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4、非法张贴、喷涂、手写、刻画的广告，发现一处扣1分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08E4F526">
            <w:pPr>
              <w:spacing w:line="240" w:lineRule="auto"/>
              <w:rPr>
                <w:rFonts w:hint="eastAsia" w:ascii="宋体" w:hAnsi="宋体" w:eastAsia="宋体" w:cs="宋体"/>
                <w:color w:val="000000"/>
                <w:kern w:val="2"/>
                <w:sz w:val="18"/>
                <w:szCs w:val="18"/>
                <w:highlight w:val="none"/>
              </w:rPr>
            </w:pPr>
          </w:p>
        </w:tc>
      </w:tr>
      <w:tr w14:paraId="61E604B1">
        <w:tblPrEx>
          <w:tblCellMar>
            <w:top w:w="0" w:type="dxa"/>
            <w:left w:w="0" w:type="dxa"/>
            <w:bottom w:w="0" w:type="dxa"/>
            <w:right w:w="0" w:type="dxa"/>
          </w:tblCellMar>
        </w:tblPrEx>
        <w:trPr>
          <w:trHeight w:val="400" w:hRule="atLeast"/>
        </w:trPr>
        <w:tc>
          <w:tcPr>
            <w:tcW w:w="128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C3BF20">
            <w:pPr>
              <w:widowControl/>
              <w:spacing w:line="240" w:lineRule="auto"/>
              <w:jc w:val="center"/>
              <w:textAlignment w:val="center"/>
              <w:rPr>
                <w:rFonts w:hint="eastAsia" w:ascii="宋体" w:hAnsi="宋体" w:eastAsia="宋体" w:cs="宋体"/>
                <w:b/>
                <w:color w:val="000000"/>
                <w:kern w:val="0"/>
                <w:sz w:val="18"/>
                <w:szCs w:val="18"/>
                <w:highlight w:val="none"/>
                <w:lang w:eastAsia="zh-CN" w:bidi="ar"/>
              </w:rPr>
            </w:pPr>
            <w:r>
              <w:rPr>
                <w:rFonts w:hint="eastAsia" w:ascii="宋体" w:hAnsi="宋体" w:eastAsia="宋体" w:cs="宋体"/>
                <w:b/>
                <w:color w:val="000000"/>
                <w:kern w:val="0"/>
                <w:sz w:val="18"/>
                <w:szCs w:val="18"/>
                <w:highlight w:val="none"/>
                <w:lang w:bidi="ar"/>
              </w:rPr>
              <w:t>季节性</w:t>
            </w:r>
          </w:p>
          <w:p w14:paraId="4F24DF8F">
            <w:pPr>
              <w:widowControl/>
              <w:spacing w:line="240" w:lineRule="auto"/>
              <w:jc w:val="center"/>
              <w:textAlignment w:val="center"/>
              <w:rPr>
                <w:rFonts w:hint="eastAsia" w:ascii="宋体" w:hAnsi="宋体" w:eastAsia="宋体" w:cs="宋体"/>
                <w:b/>
                <w:color w:val="000000"/>
                <w:kern w:val="2"/>
                <w:sz w:val="18"/>
                <w:szCs w:val="18"/>
                <w:highlight w:val="none"/>
              </w:rPr>
            </w:pPr>
            <w:r>
              <w:rPr>
                <w:rFonts w:hint="eastAsia" w:ascii="宋体" w:hAnsi="宋体" w:eastAsia="宋体" w:cs="宋体"/>
                <w:b/>
                <w:color w:val="000000"/>
                <w:kern w:val="0"/>
                <w:sz w:val="18"/>
                <w:szCs w:val="18"/>
                <w:highlight w:val="none"/>
                <w:lang w:bidi="ar"/>
              </w:rPr>
              <w:t>修剪</w:t>
            </w:r>
          </w:p>
        </w:tc>
        <w:tc>
          <w:tcPr>
            <w:tcW w:w="6817"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78DCA1DE">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1、修剪强度不当的，每处扣1分。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0D8B5E2E">
            <w:pPr>
              <w:spacing w:line="240" w:lineRule="auto"/>
              <w:rPr>
                <w:rFonts w:hint="eastAsia" w:ascii="宋体" w:hAnsi="宋体" w:eastAsia="宋体" w:cs="宋体"/>
                <w:color w:val="000000"/>
                <w:kern w:val="2"/>
                <w:sz w:val="18"/>
                <w:szCs w:val="18"/>
                <w:highlight w:val="none"/>
              </w:rPr>
            </w:pPr>
          </w:p>
        </w:tc>
      </w:tr>
      <w:tr w14:paraId="0D10F3C6">
        <w:tblPrEx>
          <w:tblCellMar>
            <w:top w:w="0" w:type="dxa"/>
            <w:left w:w="0" w:type="dxa"/>
            <w:bottom w:w="0" w:type="dxa"/>
            <w:right w:w="0" w:type="dxa"/>
          </w:tblCellMar>
        </w:tblPrEx>
        <w:trPr>
          <w:trHeight w:val="400" w:hRule="atLeast"/>
        </w:trPr>
        <w:tc>
          <w:tcPr>
            <w:tcW w:w="12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B257BFC">
            <w:pPr>
              <w:spacing w:line="240" w:lineRule="auto"/>
              <w:jc w:val="center"/>
              <w:rPr>
                <w:rFonts w:hint="eastAsia" w:ascii="宋体" w:hAnsi="宋体" w:eastAsia="宋体" w:cs="宋体"/>
                <w:b/>
                <w:color w:val="000000"/>
                <w:kern w:val="2"/>
                <w:sz w:val="18"/>
                <w:szCs w:val="18"/>
                <w:highlight w:val="none"/>
              </w:rPr>
            </w:pPr>
          </w:p>
        </w:tc>
        <w:tc>
          <w:tcPr>
            <w:tcW w:w="6817"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18AF6968">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2、剪口不符合要求或锯口不平整，每处扣0.5分。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452BE407">
            <w:pPr>
              <w:spacing w:line="240" w:lineRule="auto"/>
              <w:rPr>
                <w:rFonts w:hint="eastAsia" w:ascii="宋体" w:hAnsi="宋体" w:eastAsia="宋体" w:cs="宋体"/>
                <w:color w:val="000000"/>
                <w:kern w:val="2"/>
                <w:sz w:val="18"/>
                <w:szCs w:val="18"/>
                <w:highlight w:val="none"/>
              </w:rPr>
            </w:pPr>
          </w:p>
        </w:tc>
      </w:tr>
      <w:tr w14:paraId="0D53FB2B">
        <w:tblPrEx>
          <w:tblCellMar>
            <w:top w:w="0" w:type="dxa"/>
            <w:left w:w="0" w:type="dxa"/>
            <w:bottom w:w="0" w:type="dxa"/>
            <w:right w:w="0" w:type="dxa"/>
          </w:tblCellMar>
        </w:tblPrEx>
        <w:trPr>
          <w:trHeight w:val="400" w:hRule="atLeast"/>
        </w:trPr>
        <w:tc>
          <w:tcPr>
            <w:tcW w:w="12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3659C2">
            <w:pPr>
              <w:spacing w:line="240" w:lineRule="auto"/>
              <w:jc w:val="center"/>
              <w:rPr>
                <w:rFonts w:hint="eastAsia" w:ascii="宋体" w:hAnsi="宋体" w:eastAsia="宋体" w:cs="宋体"/>
                <w:b/>
                <w:color w:val="000000"/>
                <w:kern w:val="2"/>
                <w:sz w:val="18"/>
                <w:szCs w:val="18"/>
                <w:highlight w:val="none"/>
              </w:rPr>
            </w:pPr>
          </w:p>
        </w:tc>
        <w:tc>
          <w:tcPr>
            <w:tcW w:w="6817"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63DE7EBF">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3、未按要求及时修剪的，每处扣1分。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62786547">
            <w:pPr>
              <w:spacing w:line="240" w:lineRule="auto"/>
              <w:rPr>
                <w:rFonts w:hint="eastAsia" w:ascii="宋体" w:hAnsi="宋体" w:eastAsia="宋体" w:cs="宋体"/>
                <w:color w:val="000000"/>
                <w:kern w:val="2"/>
                <w:sz w:val="18"/>
                <w:szCs w:val="18"/>
                <w:highlight w:val="none"/>
              </w:rPr>
            </w:pPr>
          </w:p>
        </w:tc>
      </w:tr>
      <w:tr w14:paraId="071251B7">
        <w:tblPrEx>
          <w:tblCellMar>
            <w:top w:w="0" w:type="dxa"/>
            <w:left w:w="0" w:type="dxa"/>
            <w:bottom w:w="0" w:type="dxa"/>
            <w:right w:w="0" w:type="dxa"/>
          </w:tblCellMar>
        </w:tblPrEx>
        <w:trPr>
          <w:trHeight w:val="400" w:hRule="atLeast"/>
        </w:trPr>
        <w:tc>
          <w:tcPr>
            <w:tcW w:w="12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C73A136">
            <w:pPr>
              <w:spacing w:line="240" w:lineRule="auto"/>
              <w:jc w:val="center"/>
              <w:rPr>
                <w:rFonts w:hint="eastAsia" w:ascii="宋体" w:hAnsi="宋体" w:eastAsia="宋体" w:cs="宋体"/>
                <w:b/>
                <w:color w:val="000000"/>
                <w:kern w:val="2"/>
                <w:sz w:val="18"/>
                <w:szCs w:val="18"/>
                <w:highlight w:val="none"/>
              </w:rPr>
            </w:pPr>
          </w:p>
        </w:tc>
        <w:tc>
          <w:tcPr>
            <w:tcW w:w="681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0FDBAD9">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4、地被植物（含水生植物）换季时未及时清理枯枝枯叶，每处扣1分。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6623CA20">
            <w:pPr>
              <w:spacing w:line="240" w:lineRule="auto"/>
              <w:rPr>
                <w:rFonts w:hint="eastAsia" w:ascii="宋体" w:hAnsi="宋体" w:eastAsia="宋体" w:cs="宋体"/>
                <w:color w:val="000000"/>
                <w:kern w:val="2"/>
                <w:sz w:val="18"/>
                <w:szCs w:val="18"/>
                <w:highlight w:val="none"/>
              </w:rPr>
            </w:pPr>
          </w:p>
        </w:tc>
      </w:tr>
      <w:tr w14:paraId="3FD80266">
        <w:tblPrEx>
          <w:tblCellMar>
            <w:top w:w="0" w:type="dxa"/>
            <w:left w:w="0" w:type="dxa"/>
            <w:bottom w:w="0" w:type="dxa"/>
            <w:right w:w="0" w:type="dxa"/>
          </w:tblCellMar>
        </w:tblPrEx>
        <w:trPr>
          <w:trHeight w:val="600" w:hRule="atLeast"/>
        </w:trPr>
        <w:tc>
          <w:tcPr>
            <w:tcW w:w="128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ECC809">
            <w:pPr>
              <w:widowControl/>
              <w:spacing w:line="240" w:lineRule="auto"/>
              <w:jc w:val="center"/>
              <w:textAlignment w:val="center"/>
              <w:rPr>
                <w:rFonts w:hint="eastAsia" w:ascii="宋体" w:hAnsi="宋体" w:eastAsia="宋体" w:cs="宋体"/>
                <w:b/>
                <w:color w:val="000000"/>
                <w:kern w:val="0"/>
                <w:sz w:val="18"/>
                <w:szCs w:val="18"/>
                <w:highlight w:val="none"/>
                <w:lang w:eastAsia="zh-CN" w:bidi="ar"/>
              </w:rPr>
            </w:pPr>
            <w:r>
              <w:rPr>
                <w:rFonts w:hint="eastAsia" w:ascii="宋体" w:hAnsi="宋体" w:eastAsia="宋体" w:cs="宋体"/>
                <w:b/>
                <w:color w:val="000000"/>
                <w:kern w:val="0"/>
                <w:sz w:val="18"/>
                <w:szCs w:val="18"/>
                <w:highlight w:val="none"/>
                <w:lang w:bidi="ar"/>
              </w:rPr>
              <w:t>抗旱</w:t>
            </w:r>
          </w:p>
          <w:p w14:paraId="52DC2EDD">
            <w:pPr>
              <w:widowControl/>
              <w:spacing w:line="240" w:lineRule="auto"/>
              <w:jc w:val="center"/>
              <w:textAlignment w:val="center"/>
              <w:rPr>
                <w:rFonts w:hint="eastAsia" w:ascii="宋体" w:hAnsi="宋体" w:eastAsia="宋体" w:cs="宋体"/>
                <w:b/>
                <w:color w:val="000000"/>
                <w:kern w:val="2"/>
                <w:sz w:val="18"/>
                <w:szCs w:val="18"/>
                <w:highlight w:val="none"/>
              </w:rPr>
            </w:pPr>
            <w:r>
              <w:rPr>
                <w:rFonts w:hint="eastAsia" w:ascii="宋体" w:hAnsi="宋体" w:eastAsia="宋体" w:cs="宋体"/>
                <w:b/>
                <w:color w:val="000000"/>
                <w:kern w:val="0"/>
                <w:sz w:val="18"/>
                <w:szCs w:val="18"/>
                <w:highlight w:val="none"/>
                <w:lang w:bidi="ar"/>
              </w:rPr>
              <w:t>排涝</w:t>
            </w:r>
          </w:p>
        </w:tc>
        <w:tc>
          <w:tcPr>
            <w:tcW w:w="6817"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3BA0ADB0">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1、及时做好抗旱工作，保持土壤有效水分70％－85％，促进植物正常生长，抗旱不及时、质量不到位、检查地段上植物出现萎蔫状态，每处扣1分。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20F1D2F2">
            <w:pPr>
              <w:spacing w:line="240" w:lineRule="auto"/>
              <w:rPr>
                <w:rFonts w:hint="eastAsia" w:ascii="宋体" w:hAnsi="宋体" w:eastAsia="宋体" w:cs="宋体"/>
                <w:color w:val="000000"/>
                <w:kern w:val="2"/>
                <w:sz w:val="18"/>
                <w:szCs w:val="18"/>
                <w:highlight w:val="none"/>
              </w:rPr>
            </w:pPr>
          </w:p>
        </w:tc>
      </w:tr>
      <w:tr w14:paraId="47933297">
        <w:tblPrEx>
          <w:tblCellMar>
            <w:top w:w="0" w:type="dxa"/>
            <w:left w:w="0" w:type="dxa"/>
            <w:bottom w:w="0" w:type="dxa"/>
            <w:right w:w="0" w:type="dxa"/>
          </w:tblCellMar>
        </w:tblPrEx>
        <w:trPr>
          <w:trHeight w:val="400" w:hRule="atLeast"/>
        </w:trPr>
        <w:tc>
          <w:tcPr>
            <w:tcW w:w="12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49950E5">
            <w:pPr>
              <w:spacing w:line="240" w:lineRule="auto"/>
              <w:jc w:val="center"/>
              <w:rPr>
                <w:rFonts w:hint="eastAsia" w:ascii="宋体" w:hAnsi="宋体" w:eastAsia="宋体" w:cs="宋体"/>
                <w:b/>
                <w:color w:val="000000"/>
                <w:kern w:val="2"/>
                <w:sz w:val="18"/>
                <w:szCs w:val="18"/>
                <w:highlight w:val="none"/>
              </w:rPr>
            </w:pPr>
          </w:p>
        </w:tc>
        <w:tc>
          <w:tcPr>
            <w:tcW w:w="6817"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4566F7BE">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2</w:t>
            </w:r>
            <w:r>
              <w:rPr>
                <w:rStyle w:val="472"/>
                <w:rFonts w:hint="eastAsia" w:ascii="宋体" w:hAnsi="宋体" w:eastAsia="宋体" w:cs="宋体"/>
                <w:kern w:val="2"/>
                <w:sz w:val="18"/>
                <w:szCs w:val="18"/>
                <w:highlight w:val="none"/>
                <w:lang w:bidi="ar"/>
              </w:rPr>
              <w:t>、雨后及时排水，检查地段雨后24小时内仍有明显积水，每处扣3分。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11A7DC72">
            <w:pPr>
              <w:spacing w:line="240" w:lineRule="auto"/>
              <w:rPr>
                <w:rFonts w:hint="eastAsia" w:ascii="宋体" w:hAnsi="宋体" w:eastAsia="宋体" w:cs="宋体"/>
                <w:color w:val="000000"/>
                <w:kern w:val="2"/>
                <w:sz w:val="18"/>
                <w:szCs w:val="18"/>
                <w:highlight w:val="none"/>
              </w:rPr>
            </w:pPr>
          </w:p>
        </w:tc>
      </w:tr>
      <w:tr w14:paraId="3CCC8B82">
        <w:tblPrEx>
          <w:tblCellMar>
            <w:top w:w="0" w:type="dxa"/>
            <w:left w:w="0" w:type="dxa"/>
            <w:bottom w:w="0" w:type="dxa"/>
            <w:right w:w="0" w:type="dxa"/>
          </w:tblCellMar>
        </w:tblPrEx>
        <w:trPr>
          <w:trHeight w:val="400" w:hRule="atLeast"/>
        </w:trPr>
        <w:tc>
          <w:tcPr>
            <w:tcW w:w="128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4CD912">
            <w:pPr>
              <w:widowControl/>
              <w:spacing w:line="240" w:lineRule="auto"/>
              <w:jc w:val="center"/>
              <w:textAlignment w:val="center"/>
              <w:rPr>
                <w:rFonts w:hint="eastAsia" w:ascii="宋体" w:hAnsi="宋体" w:eastAsia="宋体" w:cs="宋体"/>
                <w:b/>
                <w:color w:val="000000"/>
                <w:kern w:val="2"/>
                <w:sz w:val="18"/>
                <w:szCs w:val="18"/>
                <w:highlight w:val="none"/>
              </w:rPr>
            </w:pPr>
            <w:r>
              <w:rPr>
                <w:rFonts w:hint="eastAsia" w:ascii="宋体" w:hAnsi="宋体" w:eastAsia="宋体" w:cs="宋体"/>
                <w:b/>
                <w:color w:val="000000"/>
                <w:kern w:val="0"/>
                <w:sz w:val="18"/>
                <w:szCs w:val="18"/>
                <w:highlight w:val="none"/>
                <w:lang w:bidi="ar"/>
              </w:rPr>
              <w:t>施肥</w:t>
            </w:r>
          </w:p>
        </w:tc>
        <w:tc>
          <w:tcPr>
            <w:tcW w:w="6817"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5453F5FB">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1、每年冬春两季未按植物生长要求适时施肥的，发现一次扣3分。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2F89ED69">
            <w:pPr>
              <w:spacing w:line="240" w:lineRule="auto"/>
              <w:rPr>
                <w:rFonts w:hint="eastAsia" w:ascii="宋体" w:hAnsi="宋体" w:eastAsia="宋体" w:cs="宋体"/>
                <w:color w:val="000000"/>
                <w:kern w:val="2"/>
                <w:sz w:val="18"/>
                <w:szCs w:val="18"/>
                <w:highlight w:val="none"/>
              </w:rPr>
            </w:pPr>
          </w:p>
        </w:tc>
      </w:tr>
      <w:tr w14:paraId="2117959A">
        <w:tblPrEx>
          <w:tblCellMar>
            <w:top w:w="0" w:type="dxa"/>
            <w:left w:w="0" w:type="dxa"/>
            <w:bottom w:w="0" w:type="dxa"/>
            <w:right w:w="0" w:type="dxa"/>
          </w:tblCellMar>
        </w:tblPrEx>
        <w:trPr>
          <w:trHeight w:val="400" w:hRule="atLeast"/>
        </w:trPr>
        <w:tc>
          <w:tcPr>
            <w:tcW w:w="128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477855">
            <w:pPr>
              <w:spacing w:line="240" w:lineRule="auto"/>
              <w:jc w:val="center"/>
              <w:rPr>
                <w:rFonts w:hint="eastAsia" w:ascii="宋体" w:hAnsi="宋体" w:eastAsia="宋体" w:cs="宋体"/>
                <w:b/>
                <w:color w:val="000000"/>
                <w:kern w:val="2"/>
                <w:sz w:val="18"/>
                <w:szCs w:val="18"/>
                <w:highlight w:val="none"/>
              </w:rPr>
            </w:pPr>
          </w:p>
        </w:tc>
        <w:tc>
          <w:tcPr>
            <w:tcW w:w="6817"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53760723">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2</w:t>
            </w:r>
            <w:r>
              <w:rPr>
                <w:rStyle w:val="472"/>
                <w:rFonts w:hint="eastAsia" w:ascii="宋体" w:hAnsi="宋体" w:eastAsia="宋体" w:cs="宋体"/>
                <w:kern w:val="2"/>
                <w:sz w:val="18"/>
                <w:szCs w:val="18"/>
                <w:highlight w:val="none"/>
                <w:lang w:bidi="ar"/>
              </w:rPr>
              <w:t>、施肥方法、品种、数量正确，不正确扣3分。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302D64D1">
            <w:pPr>
              <w:spacing w:line="240" w:lineRule="auto"/>
              <w:rPr>
                <w:rFonts w:hint="eastAsia" w:ascii="宋体" w:hAnsi="宋体" w:eastAsia="宋体" w:cs="宋体"/>
                <w:color w:val="000000"/>
                <w:kern w:val="2"/>
                <w:sz w:val="18"/>
                <w:szCs w:val="18"/>
                <w:highlight w:val="none"/>
              </w:rPr>
            </w:pPr>
          </w:p>
        </w:tc>
      </w:tr>
      <w:tr w14:paraId="61E3D6D0">
        <w:tblPrEx>
          <w:tblCellMar>
            <w:top w:w="0" w:type="dxa"/>
            <w:left w:w="0" w:type="dxa"/>
            <w:bottom w:w="0" w:type="dxa"/>
            <w:right w:w="0" w:type="dxa"/>
          </w:tblCellMar>
        </w:tblPrEx>
        <w:trPr>
          <w:trHeight w:val="600" w:hRule="atLeast"/>
        </w:trPr>
        <w:tc>
          <w:tcPr>
            <w:tcW w:w="12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B51576">
            <w:pPr>
              <w:widowControl/>
              <w:spacing w:line="240" w:lineRule="auto"/>
              <w:jc w:val="center"/>
              <w:textAlignment w:val="center"/>
              <w:rPr>
                <w:rFonts w:hint="eastAsia" w:ascii="宋体" w:hAnsi="宋体" w:eastAsia="宋体" w:cs="宋体"/>
                <w:b/>
                <w:color w:val="000000"/>
                <w:kern w:val="0"/>
                <w:sz w:val="18"/>
                <w:szCs w:val="18"/>
                <w:highlight w:val="none"/>
                <w:lang w:eastAsia="zh-CN" w:bidi="ar"/>
              </w:rPr>
            </w:pPr>
            <w:r>
              <w:rPr>
                <w:rFonts w:hint="eastAsia" w:ascii="宋体" w:hAnsi="宋体" w:eastAsia="宋体" w:cs="宋体"/>
                <w:b/>
                <w:color w:val="000000"/>
                <w:kern w:val="0"/>
                <w:sz w:val="18"/>
                <w:szCs w:val="18"/>
                <w:highlight w:val="none"/>
                <w:lang w:bidi="ar"/>
              </w:rPr>
              <w:t>防冻</w:t>
            </w:r>
          </w:p>
          <w:p w14:paraId="091AE9E3">
            <w:pPr>
              <w:widowControl/>
              <w:spacing w:line="240" w:lineRule="auto"/>
              <w:jc w:val="center"/>
              <w:textAlignment w:val="center"/>
              <w:rPr>
                <w:rFonts w:hint="eastAsia" w:ascii="宋体" w:hAnsi="宋体" w:eastAsia="宋体" w:cs="宋体"/>
                <w:b/>
                <w:color w:val="000000"/>
                <w:kern w:val="2"/>
                <w:sz w:val="18"/>
                <w:szCs w:val="18"/>
                <w:highlight w:val="none"/>
              </w:rPr>
            </w:pPr>
            <w:r>
              <w:rPr>
                <w:rFonts w:hint="eastAsia" w:ascii="宋体" w:hAnsi="宋体" w:eastAsia="宋体" w:cs="宋体"/>
                <w:b/>
                <w:color w:val="000000"/>
                <w:kern w:val="0"/>
                <w:sz w:val="18"/>
                <w:szCs w:val="18"/>
                <w:highlight w:val="none"/>
                <w:lang w:bidi="ar"/>
              </w:rPr>
              <w:t>涂白</w:t>
            </w:r>
          </w:p>
        </w:tc>
        <w:tc>
          <w:tcPr>
            <w:tcW w:w="6817"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761815D1">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刷白和防冻保暖措施不及时、使用材料质量不符合要求、不统一整齐的，发现一处扣1分。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3B5E2EFA">
            <w:pPr>
              <w:spacing w:line="240" w:lineRule="auto"/>
              <w:rPr>
                <w:rFonts w:hint="eastAsia" w:ascii="宋体" w:hAnsi="宋体" w:eastAsia="宋体" w:cs="宋体"/>
                <w:color w:val="000000"/>
                <w:kern w:val="2"/>
                <w:sz w:val="18"/>
                <w:szCs w:val="18"/>
                <w:highlight w:val="none"/>
              </w:rPr>
            </w:pPr>
          </w:p>
        </w:tc>
      </w:tr>
      <w:tr w14:paraId="734FBA91">
        <w:tblPrEx>
          <w:tblCellMar>
            <w:top w:w="0" w:type="dxa"/>
            <w:left w:w="0" w:type="dxa"/>
            <w:bottom w:w="0" w:type="dxa"/>
            <w:right w:w="0" w:type="dxa"/>
          </w:tblCellMar>
        </w:tblPrEx>
        <w:trPr>
          <w:trHeight w:val="560" w:hRule="atLeast"/>
        </w:trPr>
        <w:tc>
          <w:tcPr>
            <w:tcW w:w="1280" w:type="dxa"/>
            <w:vMerge w:val="restart"/>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14:paraId="25F0DEDB">
            <w:pPr>
              <w:widowControl/>
              <w:spacing w:line="240" w:lineRule="auto"/>
              <w:jc w:val="center"/>
              <w:textAlignment w:val="center"/>
              <w:rPr>
                <w:rFonts w:hint="eastAsia" w:ascii="宋体" w:hAnsi="宋体" w:eastAsia="宋体" w:cs="宋体"/>
                <w:b/>
                <w:color w:val="000000"/>
                <w:kern w:val="0"/>
                <w:sz w:val="18"/>
                <w:szCs w:val="18"/>
                <w:highlight w:val="none"/>
                <w:lang w:eastAsia="zh-CN" w:bidi="ar"/>
              </w:rPr>
            </w:pPr>
            <w:r>
              <w:rPr>
                <w:rFonts w:hint="eastAsia" w:ascii="宋体" w:hAnsi="宋体" w:eastAsia="宋体" w:cs="宋体"/>
                <w:b/>
                <w:color w:val="000000"/>
                <w:kern w:val="0"/>
                <w:sz w:val="18"/>
                <w:szCs w:val="18"/>
                <w:highlight w:val="none"/>
                <w:lang w:bidi="ar"/>
              </w:rPr>
              <w:t>病害</w:t>
            </w:r>
          </w:p>
          <w:p w14:paraId="22EF97F2">
            <w:pPr>
              <w:widowControl/>
              <w:spacing w:line="240" w:lineRule="auto"/>
              <w:jc w:val="center"/>
              <w:textAlignment w:val="center"/>
              <w:rPr>
                <w:rFonts w:hint="eastAsia" w:ascii="宋体" w:hAnsi="宋体" w:eastAsia="宋体" w:cs="宋体"/>
                <w:b/>
                <w:color w:val="000000"/>
                <w:kern w:val="0"/>
                <w:sz w:val="18"/>
                <w:szCs w:val="18"/>
                <w:highlight w:val="none"/>
                <w:lang w:eastAsia="zh-CN" w:bidi="ar"/>
              </w:rPr>
            </w:pPr>
            <w:r>
              <w:rPr>
                <w:rFonts w:hint="eastAsia" w:ascii="宋体" w:hAnsi="宋体" w:eastAsia="宋体" w:cs="宋体"/>
                <w:b/>
                <w:color w:val="000000"/>
                <w:kern w:val="0"/>
                <w:sz w:val="18"/>
                <w:szCs w:val="18"/>
                <w:highlight w:val="none"/>
                <w:lang w:bidi="ar"/>
              </w:rPr>
              <w:t>虫害</w:t>
            </w:r>
          </w:p>
          <w:p w14:paraId="404F60C3">
            <w:pPr>
              <w:widowControl/>
              <w:spacing w:line="240" w:lineRule="auto"/>
              <w:jc w:val="center"/>
              <w:textAlignment w:val="center"/>
              <w:rPr>
                <w:rFonts w:hint="eastAsia" w:ascii="宋体" w:hAnsi="宋体" w:eastAsia="宋体" w:cs="宋体"/>
                <w:b/>
                <w:color w:val="000000"/>
                <w:kern w:val="2"/>
                <w:sz w:val="18"/>
                <w:szCs w:val="18"/>
                <w:highlight w:val="none"/>
              </w:rPr>
            </w:pPr>
            <w:r>
              <w:rPr>
                <w:rFonts w:hint="eastAsia" w:ascii="宋体" w:hAnsi="宋体" w:eastAsia="宋体" w:cs="宋体"/>
                <w:b/>
                <w:color w:val="000000"/>
                <w:kern w:val="0"/>
                <w:sz w:val="18"/>
                <w:szCs w:val="18"/>
                <w:highlight w:val="none"/>
                <w:lang w:bidi="ar"/>
              </w:rPr>
              <w:t>防治</w:t>
            </w:r>
          </w:p>
        </w:tc>
        <w:tc>
          <w:tcPr>
            <w:tcW w:w="6817"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3AD22C66">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1、发生病虫害，未及时防治，造成植株死亡或长势差，或影响景观效果的，每处扣2分。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6F843319">
            <w:pPr>
              <w:spacing w:line="240" w:lineRule="auto"/>
              <w:rPr>
                <w:rFonts w:hint="eastAsia" w:ascii="宋体" w:hAnsi="宋体" w:eastAsia="宋体" w:cs="宋体"/>
                <w:color w:val="000000"/>
                <w:kern w:val="2"/>
                <w:sz w:val="18"/>
                <w:szCs w:val="18"/>
                <w:highlight w:val="none"/>
              </w:rPr>
            </w:pPr>
          </w:p>
        </w:tc>
      </w:tr>
      <w:tr w14:paraId="4964A18F">
        <w:tblPrEx>
          <w:tblCellMar>
            <w:top w:w="0" w:type="dxa"/>
            <w:left w:w="0" w:type="dxa"/>
            <w:bottom w:w="0" w:type="dxa"/>
            <w:right w:w="0" w:type="dxa"/>
          </w:tblCellMar>
        </w:tblPrEx>
        <w:trPr>
          <w:trHeight w:val="560" w:hRule="atLeast"/>
        </w:trPr>
        <w:tc>
          <w:tcPr>
            <w:tcW w:w="1280" w:type="dxa"/>
            <w:vMerge w:val="continue"/>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14:paraId="71FC1825">
            <w:pPr>
              <w:spacing w:line="240" w:lineRule="auto"/>
              <w:jc w:val="center"/>
              <w:rPr>
                <w:rFonts w:hint="eastAsia" w:ascii="宋体" w:hAnsi="宋体" w:eastAsia="宋体" w:cs="宋体"/>
                <w:b/>
                <w:color w:val="000000"/>
                <w:kern w:val="2"/>
                <w:sz w:val="18"/>
                <w:szCs w:val="18"/>
                <w:highlight w:val="none"/>
              </w:rPr>
            </w:pPr>
          </w:p>
        </w:tc>
        <w:tc>
          <w:tcPr>
            <w:tcW w:w="6817"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3D44F00E">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2、因农药使用不当，植物产生药害，并影响景观，每处扣1分。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70A0E47A">
            <w:pPr>
              <w:spacing w:line="240" w:lineRule="auto"/>
              <w:rPr>
                <w:rFonts w:hint="eastAsia" w:ascii="宋体" w:hAnsi="宋体" w:eastAsia="宋体" w:cs="宋体"/>
                <w:color w:val="000000"/>
                <w:kern w:val="2"/>
                <w:sz w:val="18"/>
                <w:szCs w:val="18"/>
                <w:highlight w:val="none"/>
              </w:rPr>
            </w:pPr>
          </w:p>
        </w:tc>
      </w:tr>
      <w:tr w14:paraId="42FE243B">
        <w:tblPrEx>
          <w:tblCellMar>
            <w:top w:w="0" w:type="dxa"/>
            <w:left w:w="0" w:type="dxa"/>
            <w:bottom w:w="0" w:type="dxa"/>
            <w:right w:w="0" w:type="dxa"/>
          </w:tblCellMar>
        </w:tblPrEx>
        <w:trPr>
          <w:trHeight w:val="560" w:hRule="atLeast"/>
        </w:trPr>
        <w:tc>
          <w:tcPr>
            <w:tcW w:w="1280" w:type="dxa"/>
            <w:vMerge w:val="continue"/>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14:paraId="5B5B3A3A">
            <w:pPr>
              <w:spacing w:line="240" w:lineRule="auto"/>
              <w:jc w:val="center"/>
              <w:rPr>
                <w:rFonts w:hint="eastAsia" w:ascii="宋体" w:hAnsi="宋体" w:eastAsia="宋体" w:cs="宋体"/>
                <w:b/>
                <w:color w:val="000000"/>
                <w:kern w:val="2"/>
                <w:sz w:val="18"/>
                <w:szCs w:val="18"/>
                <w:highlight w:val="none"/>
              </w:rPr>
            </w:pPr>
          </w:p>
        </w:tc>
        <w:tc>
          <w:tcPr>
            <w:tcW w:w="6817"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7A72E365">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3、未按要求使用化学农药，造成不良影响且未及时采取措施的，每处扣1分。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14FCDB8A">
            <w:pPr>
              <w:spacing w:line="240" w:lineRule="auto"/>
              <w:rPr>
                <w:rFonts w:hint="eastAsia" w:ascii="宋体" w:hAnsi="宋体" w:eastAsia="宋体" w:cs="宋体"/>
                <w:color w:val="000000"/>
                <w:kern w:val="2"/>
                <w:sz w:val="18"/>
                <w:szCs w:val="18"/>
                <w:highlight w:val="none"/>
              </w:rPr>
            </w:pPr>
          </w:p>
        </w:tc>
      </w:tr>
      <w:tr w14:paraId="5D0FB56C">
        <w:tblPrEx>
          <w:tblCellMar>
            <w:top w:w="0" w:type="dxa"/>
            <w:left w:w="0" w:type="dxa"/>
            <w:bottom w:w="0" w:type="dxa"/>
            <w:right w:w="0" w:type="dxa"/>
          </w:tblCellMar>
        </w:tblPrEx>
        <w:trPr>
          <w:trHeight w:val="560" w:hRule="atLeast"/>
        </w:trPr>
        <w:tc>
          <w:tcPr>
            <w:tcW w:w="12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0CF948E">
            <w:pPr>
              <w:widowControl/>
              <w:spacing w:line="240" w:lineRule="auto"/>
              <w:jc w:val="center"/>
              <w:textAlignment w:val="center"/>
              <w:rPr>
                <w:rFonts w:hint="eastAsia" w:ascii="宋体" w:hAnsi="宋体" w:eastAsia="宋体" w:cs="宋体"/>
                <w:b/>
                <w:color w:val="000000"/>
                <w:kern w:val="2"/>
                <w:sz w:val="18"/>
                <w:szCs w:val="18"/>
                <w:highlight w:val="none"/>
              </w:rPr>
            </w:pPr>
            <w:r>
              <w:rPr>
                <w:rFonts w:hint="eastAsia" w:ascii="宋体" w:hAnsi="宋体" w:eastAsia="宋体" w:cs="宋体"/>
                <w:b/>
                <w:color w:val="000000"/>
                <w:kern w:val="0"/>
                <w:sz w:val="18"/>
                <w:szCs w:val="18"/>
                <w:highlight w:val="none"/>
                <w:lang w:bidi="ar"/>
              </w:rPr>
              <w:t>松土</w:t>
            </w:r>
          </w:p>
        </w:tc>
        <w:tc>
          <w:tcPr>
            <w:tcW w:w="6817"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79AAF4A3">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保持土壤疏松，发现土壤板结造成植物生长不良的，发现一处扣</w:t>
            </w:r>
            <w:r>
              <w:rPr>
                <w:rStyle w:val="472"/>
                <w:rFonts w:hint="eastAsia" w:ascii="宋体" w:hAnsi="宋体" w:eastAsia="宋体" w:cs="宋体"/>
                <w:kern w:val="2"/>
                <w:sz w:val="18"/>
                <w:szCs w:val="18"/>
                <w:highlight w:val="none"/>
                <w:lang w:bidi="ar"/>
              </w:rPr>
              <w:t>1分。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4EC755CF">
            <w:pPr>
              <w:spacing w:line="240" w:lineRule="auto"/>
              <w:rPr>
                <w:rFonts w:hint="eastAsia" w:ascii="宋体" w:hAnsi="宋体" w:eastAsia="宋体" w:cs="宋体"/>
                <w:color w:val="000000"/>
                <w:kern w:val="2"/>
                <w:sz w:val="18"/>
                <w:szCs w:val="18"/>
                <w:highlight w:val="none"/>
              </w:rPr>
            </w:pPr>
          </w:p>
        </w:tc>
      </w:tr>
      <w:tr w14:paraId="7984AB3E">
        <w:tblPrEx>
          <w:tblCellMar>
            <w:top w:w="0" w:type="dxa"/>
            <w:left w:w="0" w:type="dxa"/>
            <w:bottom w:w="0" w:type="dxa"/>
            <w:right w:w="0" w:type="dxa"/>
          </w:tblCellMar>
        </w:tblPrEx>
        <w:trPr>
          <w:trHeight w:val="670" w:hRule="atLeast"/>
        </w:trPr>
        <w:tc>
          <w:tcPr>
            <w:tcW w:w="128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BD7A05A">
            <w:pPr>
              <w:widowControl/>
              <w:spacing w:line="240" w:lineRule="auto"/>
              <w:jc w:val="center"/>
              <w:textAlignment w:val="center"/>
              <w:rPr>
                <w:rFonts w:hint="eastAsia" w:ascii="宋体" w:hAnsi="宋体" w:eastAsia="宋体" w:cs="宋体"/>
                <w:b/>
                <w:color w:val="000000"/>
                <w:kern w:val="0"/>
                <w:sz w:val="18"/>
                <w:szCs w:val="18"/>
                <w:highlight w:val="none"/>
                <w:lang w:eastAsia="zh-CN" w:bidi="ar"/>
              </w:rPr>
            </w:pPr>
            <w:r>
              <w:rPr>
                <w:rFonts w:hint="eastAsia" w:ascii="宋体" w:hAnsi="宋体" w:eastAsia="宋体" w:cs="宋体"/>
                <w:b/>
                <w:color w:val="000000"/>
                <w:kern w:val="0"/>
                <w:sz w:val="18"/>
                <w:szCs w:val="18"/>
                <w:highlight w:val="none"/>
                <w:lang w:bidi="ar"/>
              </w:rPr>
              <w:t>安全</w:t>
            </w:r>
          </w:p>
          <w:p w14:paraId="5EE94E14">
            <w:pPr>
              <w:widowControl/>
              <w:spacing w:line="240" w:lineRule="auto"/>
              <w:jc w:val="center"/>
              <w:textAlignment w:val="center"/>
              <w:rPr>
                <w:rFonts w:hint="eastAsia" w:ascii="宋体" w:hAnsi="宋体" w:eastAsia="宋体" w:cs="宋体"/>
                <w:b/>
                <w:color w:val="000000"/>
                <w:kern w:val="0"/>
                <w:sz w:val="18"/>
                <w:szCs w:val="18"/>
                <w:highlight w:val="none"/>
                <w:lang w:eastAsia="zh-CN" w:bidi="ar"/>
              </w:rPr>
            </w:pPr>
            <w:r>
              <w:rPr>
                <w:rFonts w:hint="eastAsia" w:ascii="宋体" w:hAnsi="宋体" w:eastAsia="宋体" w:cs="宋体"/>
                <w:b/>
                <w:color w:val="000000"/>
                <w:kern w:val="0"/>
                <w:sz w:val="18"/>
                <w:szCs w:val="18"/>
                <w:highlight w:val="none"/>
                <w:lang w:bidi="ar"/>
              </w:rPr>
              <w:t>文明</w:t>
            </w:r>
          </w:p>
          <w:p w14:paraId="12E4124A">
            <w:pPr>
              <w:widowControl/>
              <w:spacing w:line="240" w:lineRule="auto"/>
              <w:jc w:val="center"/>
              <w:textAlignment w:val="center"/>
              <w:rPr>
                <w:rFonts w:hint="eastAsia" w:ascii="宋体" w:hAnsi="宋体" w:eastAsia="宋体" w:cs="宋体"/>
                <w:b/>
                <w:color w:val="000000"/>
                <w:kern w:val="2"/>
                <w:sz w:val="18"/>
                <w:szCs w:val="18"/>
                <w:highlight w:val="none"/>
              </w:rPr>
            </w:pPr>
            <w:r>
              <w:rPr>
                <w:rFonts w:hint="eastAsia" w:ascii="宋体" w:hAnsi="宋体" w:eastAsia="宋体" w:cs="宋体"/>
                <w:b/>
                <w:color w:val="000000"/>
                <w:kern w:val="0"/>
                <w:sz w:val="18"/>
                <w:szCs w:val="18"/>
                <w:highlight w:val="none"/>
                <w:lang w:bidi="ar"/>
              </w:rPr>
              <w:t>管理</w:t>
            </w:r>
          </w:p>
        </w:tc>
        <w:tc>
          <w:tcPr>
            <w:tcW w:w="6817"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313E3D77">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1、有安全管理网络，制度齐全，责任落实，严格按照制定的安全规程作业。 施工单位达不到要求的，每次扣1分，生产作业发生一般质量、安全事故的，每发生一次扣5分。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559E87C3">
            <w:pPr>
              <w:spacing w:line="240" w:lineRule="auto"/>
              <w:rPr>
                <w:rFonts w:hint="eastAsia" w:ascii="宋体" w:hAnsi="宋体" w:eastAsia="宋体" w:cs="宋体"/>
                <w:color w:val="000000"/>
                <w:kern w:val="2"/>
                <w:sz w:val="18"/>
                <w:szCs w:val="18"/>
                <w:highlight w:val="none"/>
              </w:rPr>
            </w:pPr>
          </w:p>
        </w:tc>
      </w:tr>
      <w:tr w14:paraId="2E3D31AF">
        <w:tblPrEx>
          <w:tblCellMar>
            <w:top w:w="0" w:type="dxa"/>
            <w:left w:w="0" w:type="dxa"/>
            <w:bottom w:w="0" w:type="dxa"/>
            <w:right w:w="0" w:type="dxa"/>
          </w:tblCellMar>
        </w:tblPrEx>
        <w:trPr>
          <w:trHeight w:val="600" w:hRule="atLeast"/>
        </w:trPr>
        <w:tc>
          <w:tcPr>
            <w:tcW w:w="128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C4BD842">
            <w:pPr>
              <w:spacing w:line="240" w:lineRule="auto"/>
              <w:jc w:val="center"/>
              <w:rPr>
                <w:rFonts w:hint="eastAsia" w:ascii="宋体" w:hAnsi="宋体" w:eastAsia="宋体" w:cs="宋体"/>
                <w:b/>
                <w:color w:val="000000"/>
                <w:kern w:val="2"/>
                <w:sz w:val="18"/>
                <w:szCs w:val="18"/>
                <w:highlight w:val="none"/>
              </w:rPr>
            </w:pPr>
          </w:p>
        </w:tc>
        <w:tc>
          <w:tcPr>
            <w:tcW w:w="6817"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0CDF6966">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2、文明作业，礼貌用语，不与过路行人发生冲突、争吵，养护工作时作业工具堆放整齐、修剪物按要求及时清理的， 发现不文明行为一次扣1分。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595BAC67">
            <w:pPr>
              <w:spacing w:line="240" w:lineRule="auto"/>
              <w:rPr>
                <w:rFonts w:hint="eastAsia" w:ascii="宋体" w:hAnsi="宋体" w:eastAsia="宋体" w:cs="宋体"/>
                <w:color w:val="000000"/>
                <w:kern w:val="2"/>
                <w:sz w:val="18"/>
                <w:szCs w:val="18"/>
                <w:highlight w:val="none"/>
              </w:rPr>
            </w:pPr>
          </w:p>
        </w:tc>
      </w:tr>
      <w:tr w14:paraId="3F843B30">
        <w:tblPrEx>
          <w:tblCellMar>
            <w:top w:w="0" w:type="dxa"/>
            <w:left w:w="0" w:type="dxa"/>
            <w:bottom w:w="0" w:type="dxa"/>
            <w:right w:w="0" w:type="dxa"/>
          </w:tblCellMar>
        </w:tblPrEx>
        <w:trPr>
          <w:trHeight w:val="620" w:hRule="atLeast"/>
        </w:trPr>
        <w:tc>
          <w:tcPr>
            <w:tcW w:w="12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3BBCC8">
            <w:pPr>
              <w:widowControl/>
              <w:spacing w:line="240" w:lineRule="auto"/>
              <w:jc w:val="center"/>
              <w:textAlignment w:val="center"/>
              <w:rPr>
                <w:rFonts w:hint="eastAsia" w:ascii="宋体" w:hAnsi="宋体" w:eastAsia="宋体" w:cs="宋体"/>
                <w:b/>
                <w:color w:val="000000"/>
                <w:kern w:val="0"/>
                <w:sz w:val="18"/>
                <w:szCs w:val="18"/>
                <w:highlight w:val="none"/>
                <w:lang w:eastAsia="zh-CN" w:bidi="ar"/>
              </w:rPr>
            </w:pPr>
            <w:r>
              <w:rPr>
                <w:rFonts w:hint="eastAsia" w:ascii="宋体" w:hAnsi="宋体" w:eastAsia="宋体" w:cs="宋体"/>
                <w:b/>
                <w:color w:val="000000"/>
                <w:kern w:val="0"/>
                <w:sz w:val="18"/>
                <w:szCs w:val="18"/>
                <w:highlight w:val="none"/>
                <w:lang w:bidi="ar"/>
              </w:rPr>
              <w:t>日常</w:t>
            </w:r>
          </w:p>
          <w:p w14:paraId="2218B1A1">
            <w:pPr>
              <w:widowControl/>
              <w:spacing w:line="240" w:lineRule="auto"/>
              <w:jc w:val="center"/>
              <w:textAlignment w:val="center"/>
              <w:rPr>
                <w:rFonts w:hint="eastAsia" w:ascii="宋体" w:hAnsi="宋体" w:eastAsia="宋体" w:cs="宋体"/>
                <w:b/>
                <w:color w:val="000000"/>
                <w:kern w:val="2"/>
                <w:sz w:val="18"/>
                <w:szCs w:val="18"/>
                <w:highlight w:val="none"/>
              </w:rPr>
            </w:pPr>
            <w:r>
              <w:rPr>
                <w:rFonts w:hint="eastAsia" w:ascii="宋体" w:hAnsi="宋体" w:eastAsia="宋体" w:cs="宋体"/>
                <w:b/>
                <w:color w:val="000000"/>
                <w:kern w:val="0"/>
                <w:sz w:val="18"/>
                <w:szCs w:val="18"/>
                <w:highlight w:val="none"/>
                <w:lang w:bidi="ar"/>
              </w:rPr>
              <w:t>巡查</w:t>
            </w:r>
          </w:p>
        </w:tc>
        <w:tc>
          <w:tcPr>
            <w:tcW w:w="6817"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4A983EEB">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签发整改通知单，其未按要求完成或完成质量有问题一次扣5分。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6B25640E">
            <w:pPr>
              <w:spacing w:line="240" w:lineRule="auto"/>
              <w:rPr>
                <w:rFonts w:hint="eastAsia" w:ascii="宋体" w:hAnsi="宋体" w:eastAsia="宋体" w:cs="宋体"/>
                <w:color w:val="000000"/>
                <w:kern w:val="2"/>
                <w:sz w:val="18"/>
                <w:szCs w:val="18"/>
                <w:highlight w:val="none"/>
              </w:rPr>
            </w:pPr>
          </w:p>
        </w:tc>
      </w:tr>
      <w:tr w14:paraId="37003450">
        <w:tblPrEx>
          <w:tblCellMar>
            <w:top w:w="0" w:type="dxa"/>
            <w:left w:w="0" w:type="dxa"/>
            <w:bottom w:w="0" w:type="dxa"/>
            <w:right w:w="0" w:type="dxa"/>
          </w:tblCellMar>
        </w:tblPrEx>
        <w:trPr>
          <w:trHeight w:val="400" w:hRule="atLeast"/>
        </w:trPr>
        <w:tc>
          <w:tcPr>
            <w:tcW w:w="128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textDirection w:val="tbRlV"/>
            <w:vAlign w:val="center"/>
          </w:tcPr>
          <w:p w14:paraId="566D3A6F">
            <w:pPr>
              <w:widowControl/>
              <w:spacing w:line="240" w:lineRule="auto"/>
              <w:jc w:val="center"/>
              <w:textAlignment w:val="center"/>
              <w:rPr>
                <w:rFonts w:hint="eastAsia" w:ascii="宋体" w:hAnsi="宋体" w:eastAsia="宋体" w:cs="宋体"/>
                <w:b/>
                <w:color w:val="000000"/>
                <w:kern w:val="2"/>
                <w:sz w:val="18"/>
                <w:szCs w:val="18"/>
                <w:highlight w:val="none"/>
              </w:rPr>
            </w:pPr>
            <w:r>
              <w:rPr>
                <w:rFonts w:hint="eastAsia" w:ascii="宋体" w:hAnsi="宋体" w:eastAsia="宋体" w:cs="宋体"/>
                <w:b/>
                <w:color w:val="000000"/>
                <w:kern w:val="0"/>
                <w:sz w:val="18"/>
                <w:szCs w:val="18"/>
                <w:highlight w:val="none"/>
                <w:lang w:bidi="ar"/>
              </w:rPr>
              <w:t>特别条款</w:t>
            </w:r>
          </w:p>
        </w:tc>
        <w:tc>
          <w:tcPr>
            <w:tcW w:w="681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B06B98F">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1、被新闻媒体曝光或受到各级领导通报批评的，发生一次扣5分。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75A22658">
            <w:pPr>
              <w:spacing w:line="240" w:lineRule="auto"/>
              <w:rPr>
                <w:rFonts w:hint="eastAsia" w:ascii="宋体" w:hAnsi="宋体" w:eastAsia="宋体" w:cs="宋体"/>
                <w:color w:val="000000"/>
                <w:kern w:val="2"/>
                <w:sz w:val="18"/>
                <w:szCs w:val="18"/>
                <w:highlight w:val="none"/>
              </w:rPr>
            </w:pPr>
          </w:p>
        </w:tc>
      </w:tr>
      <w:tr w14:paraId="63B06839">
        <w:tblPrEx>
          <w:tblCellMar>
            <w:top w:w="0" w:type="dxa"/>
            <w:left w:w="0" w:type="dxa"/>
            <w:bottom w:w="0" w:type="dxa"/>
            <w:right w:w="0" w:type="dxa"/>
          </w:tblCellMar>
        </w:tblPrEx>
        <w:trPr>
          <w:trHeight w:val="540" w:hRule="atLeast"/>
        </w:trPr>
        <w:tc>
          <w:tcPr>
            <w:tcW w:w="128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textDirection w:val="tbRlV"/>
            <w:vAlign w:val="center"/>
          </w:tcPr>
          <w:p w14:paraId="525F498F">
            <w:pPr>
              <w:spacing w:line="240" w:lineRule="auto"/>
              <w:jc w:val="center"/>
              <w:rPr>
                <w:rFonts w:hint="eastAsia" w:ascii="宋体" w:hAnsi="宋体" w:eastAsia="宋体" w:cs="宋体"/>
                <w:b/>
                <w:color w:val="000000"/>
                <w:kern w:val="2"/>
                <w:sz w:val="18"/>
                <w:szCs w:val="18"/>
                <w:highlight w:val="none"/>
              </w:rPr>
            </w:pPr>
          </w:p>
        </w:tc>
        <w:tc>
          <w:tcPr>
            <w:tcW w:w="681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0EAADB">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2、各部门发现问题或群众来信来访等未能及时整改或回复不及时、不真实的，每次扣5分。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4B68A7D5">
            <w:pPr>
              <w:spacing w:line="240" w:lineRule="auto"/>
              <w:rPr>
                <w:rFonts w:hint="eastAsia" w:ascii="宋体" w:hAnsi="宋体" w:eastAsia="宋体" w:cs="宋体"/>
                <w:color w:val="000000"/>
                <w:kern w:val="2"/>
                <w:sz w:val="18"/>
                <w:szCs w:val="18"/>
                <w:highlight w:val="none"/>
              </w:rPr>
            </w:pPr>
          </w:p>
        </w:tc>
      </w:tr>
      <w:tr w14:paraId="5ADE0EFE">
        <w:tblPrEx>
          <w:tblCellMar>
            <w:top w:w="0" w:type="dxa"/>
            <w:left w:w="0" w:type="dxa"/>
            <w:bottom w:w="0" w:type="dxa"/>
            <w:right w:w="0" w:type="dxa"/>
          </w:tblCellMar>
        </w:tblPrEx>
        <w:trPr>
          <w:trHeight w:val="400" w:hRule="atLeast"/>
        </w:trPr>
        <w:tc>
          <w:tcPr>
            <w:tcW w:w="128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textDirection w:val="tbRlV"/>
            <w:vAlign w:val="center"/>
          </w:tcPr>
          <w:p w14:paraId="441AB116">
            <w:pPr>
              <w:spacing w:line="240" w:lineRule="auto"/>
              <w:jc w:val="center"/>
              <w:rPr>
                <w:rFonts w:hint="eastAsia" w:ascii="宋体" w:hAnsi="宋体" w:eastAsia="宋体" w:cs="宋体"/>
                <w:b/>
                <w:color w:val="000000"/>
                <w:kern w:val="2"/>
                <w:sz w:val="18"/>
                <w:szCs w:val="18"/>
                <w:highlight w:val="none"/>
              </w:rPr>
            </w:pPr>
          </w:p>
        </w:tc>
        <w:tc>
          <w:tcPr>
            <w:tcW w:w="681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25029BB">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3、零星维修不到位或大面积设施维修未及时上报的。</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0982A81E">
            <w:pPr>
              <w:spacing w:line="240" w:lineRule="auto"/>
              <w:rPr>
                <w:rFonts w:hint="eastAsia" w:ascii="宋体" w:hAnsi="宋体" w:eastAsia="宋体" w:cs="宋体"/>
                <w:color w:val="000000"/>
                <w:kern w:val="2"/>
                <w:sz w:val="18"/>
                <w:szCs w:val="18"/>
                <w:highlight w:val="none"/>
              </w:rPr>
            </w:pPr>
          </w:p>
        </w:tc>
      </w:tr>
      <w:tr w14:paraId="0947CDA6">
        <w:tblPrEx>
          <w:tblCellMar>
            <w:top w:w="0" w:type="dxa"/>
            <w:left w:w="0" w:type="dxa"/>
            <w:bottom w:w="0" w:type="dxa"/>
            <w:right w:w="0" w:type="dxa"/>
          </w:tblCellMar>
        </w:tblPrEx>
        <w:trPr>
          <w:trHeight w:val="400" w:hRule="atLeast"/>
        </w:trPr>
        <w:tc>
          <w:tcPr>
            <w:tcW w:w="128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textDirection w:val="tbRlV"/>
            <w:vAlign w:val="center"/>
          </w:tcPr>
          <w:p w14:paraId="10D8FB6C">
            <w:pPr>
              <w:spacing w:line="240" w:lineRule="auto"/>
              <w:jc w:val="center"/>
              <w:rPr>
                <w:rFonts w:hint="eastAsia" w:ascii="宋体" w:hAnsi="宋体" w:eastAsia="宋体" w:cs="宋体"/>
                <w:b/>
                <w:color w:val="000000"/>
                <w:kern w:val="2"/>
                <w:sz w:val="18"/>
                <w:szCs w:val="18"/>
                <w:highlight w:val="none"/>
              </w:rPr>
            </w:pPr>
          </w:p>
        </w:tc>
        <w:tc>
          <w:tcPr>
            <w:tcW w:w="681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3EC998">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4、水面出现蓝藻未及时处理或出现大面积蓝藻未及时上报的。</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1633DA28">
            <w:pPr>
              <w:spacing w:line="240" w:lineRule="auto"/>
              <w:rPr>
                <w:rFonts w:hint="eastAsia" w:ascii="宋体" w:hAnsi="宋体" w:eastAsia="宋体" w:cs="宋体"/>
                <w:color w:val="000000"/>
                <w:kern w:val="2"/>
                <w:sz w:val="18"/>
                <w:szCs w:val="18"/>
                <w:highlight w:val="none"/>
              </w:rPr>
            </w:pPr>
          </w:p>
        </w:tc>
      </w:tr>
      <w:tr w14:paraId="6DB2E0DF">
        <w:tblPrEx>
          <w:tblCellMar>
            <w:top w:w="0" w:type="dxa"/>
            <w:left w:w="0" w:type="dxa"/>
            <w:bottom w:w="0" w:type="dxa"/>
            <w:right w:w="0" w:type="dxa"/>
          </w:tblCellMar>
        </w:tblPrEx>
        <w:trPr>
          <w:trHeight w:val="600" w:hRule="atLeast"/>
        </w:trPr>
        <w:tc>
          <w:tcPr>
            <w:tcW w:w="128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textDirection w:val="tbRlV"/>
            <w:vAlign w:val="center"/>
          </w:tcPr>
          <w:p w14:paraId="41A7EE16">
            <w:pPr>
              <w:spacing w:line="240" w:lineRule="auto"/>
              <w:jc w:val="center"/>
              <w:rPr>
                <w:rFonts w:hint="eastAsia" w:ascii="宋体" w:hAnsi="宋体" w:eastAsia="宋体" w:cs="宋体"/>
                <w:b/>
                <w:color w:val="000000"/>
                <w:kern w:val="2"/>
                <w:sz w:val="18"/>
                <w:szCs w:val="18"/>
                <w:highlight w:val="none"/>
              </w:rPr>
            </w:pPr>
          </w:p>
        </w:tc>
        <w:tc>
          <w:tcPr>
            <w:tcW w:w="681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B61BEF0">
            <w:pPr>
              <w:widowControl/>
              <w:spacing w:line="240" w:lineRule="auto"/>
              <w:jc w:val="left"/>
              <w:textAlignment w:val="center"/>
              <w:rPr>
                <w:rFonts w:hint="eastAsia" w:ascii="宋体" w:hAnsi="宋体" w:eastAsia="宋体" w:cs="宋体"/>
                <w:color w:val="000000"/>
                <w:kern w:val="2"/>
                <w:sz w:val="18"/>
                <w:szCs w:val="18"/>
                <w:highlight w:val="none"/>
              </w:rPr>
            </w:pPr>
            <w:r>
              <w:rPr>
                <w:rFonts w:hint="eastAsia" w:ascii="宋体" w:hAnsi="宋体" w:eastAsia="宋体" w:cs="宋体"/>
                <w:color w:val="000000"/>
                <w:kern w:val="0"/>
                <w:sz w:val="18"/>
                <w:szCs w:val="18"/>
                <w:highlight w:val="none"/>
                <w:lang w:bidi="ar"/>
              </w:rPr>
              <w:t>5、养护单位在得知所辖区域内有相关安全事故的第一时间应及时上报主管部门，有未及时告知的情况发生，当月考核分直接定为80分。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0A74406C">
            <w:pPr>
              <w:spacing w:line="240" w:lineRule="auto"/>
              <w:rPr>
                <w:rFonts w:hint="eastAsia" w:ascii="宋体" w:hAnsi="宋体" w:eastAsia="宋体" w:cs="宋体"/>
                <w:color w:val="000000"/>
                <w:kern w:val="2"/>
                <w:sz w:val="18"/>
                <w:szCs w:val="18"/>
                <w:highlight w:val="none"/>
              </w:rPr>
            </w:pPr>
          </w:p>
        </w:tc>
      </w:tr>
      <w:tr w14:paraId="459E9768">
        <w:tblPrEx>
          <w:tblCellMar>
            <w:top w:w="0" w:type="dxa"/>
            <w:left w:w="0" w:type="dxa"/>
            <w:bottom w:w="0" w:type="dxa"/>
            <w:right w:w="0" w:type="dxa"/>
          </w:tblCellMar>
        </w:tblPrEx>
        <w:trPr>
          <w:trHeight w:val="370" w:hRule="atLeast"/>
        </w:trPr>
        <w:tc>
          <w:tcPr>
            <w:tcW w:w="8097"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9034B4">
            <w:pPr>
              <w:widowControl/>
              <w:spacing w:line="240" w:lineRule="auto"/>
              <w:jc w:val="center"/>
              <w:textAlignment w:val="center"/>
              <w:rPr>
                <w:rFonts w:hint="eastAsia" w:ascii="宋体" w:hAnsi="宋体" w:eastAsia="宋体" w:cs="宋体"/>
                <w:b/>
                <w:color w:val="000000"/>
                <w:kern w:val="2"/>
                <w:sz w:val="18"/>
                <w:szCs w:val="18"/>
                <w:highlight w:val="none"/>
              </w:rPr>
            </w:pPr>
            <w:r>
              <w:rPr>
                <w:rFonts w:hint="eastAsia" w:ascii="宋体" w:hAnsi="宋体" w:eastAsia="宋体" w:cs="宋体"/>
                <w:b/>
                <w:color w:val="000000"/>
                <w:kern w:val="0"/>
                <w:sz w:val="18"/>
                <w:szCs w:val="18"/>
                <w:highlight w:val="none"/>
                <w:lang w:bidi="ar"/>
              </w:rPr>
              <w:t>合计扣分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2920582C">
            <w:pPr>
              <w:spacing w:line="240" w:lineRule="auto"/>
              <w:rPr>
                <w:rFonts w:hint="eastAsia" w:ascii="宋体" w:hAnsi="宋体" w:eastAsia="宋体" w:cs="宋体"/>
                <w:color w:val="000000"/>
                <w:kern w:val="2"/>
                <w:sz w:val="18"/>
                <w:szCs w:val="18"/>
                <w:highlight w:val="none"/>
              </w:rPr>
            </w:pPr>
          </w:p>
        </w:tc>
      </w:tr>
      <w:tr w14:paraId="55073330">
        <w:tblPrEx>
          <w:tblCellMar>
            <w:top w:w="0" w:type="dxa"/>
            <w:left w:w="0" w:type="dxa"/>
            <w:bottom w:w="0" w:type="dxa"/>
            <w:right w:w="0" w:type="dxa"/>
          </w:tblCellMar>
        </w:tblPrEx>
        <w:trPr>
          <w:trHeight w:val="340" w:hRule="atLeast"/>
        </w:trPr>
        <w:tc>
          <w:tcPr>
            <w:tcW w:w="8097"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BCFE0E">
            <w:pPr>
              <w:widowControl/>
              <w:spacing w:line="240" w:lineRule="auto"/>
              <w:jc w:val="center"/>
              <w:textAlignment w:val="center"/>
              <w:rPr>
                <w:rFonts w:hint="eastAsia" w:ascii="宋体" w:hAnsi="宋体" w:eastAsia="宋体" w:cs="宋体"/>
                <w:b/>
                <w:color w:val="000000"/>
                <w:kern w:val="2"/>
                <w:sz w:val="18"/>
                <w:szCs w:val="18"/>
                <w:highlight w:val="none"/>
              </w:rPr>
            </w:pPr>
            <w:r>
              <w:rPr>
                <w:rFonts w:hint="eastAsia" w:ascii="宋体" w:hAnsi="宋体" w:eastAsia="宋体" w:cs="宋体"/>
                <w:b/>
                <w:color w:val="000000"/>
                <w:kern w:val="0"/>
                <w:sz w:val="18"/>
                <w:szCs w:val="18"/>
                <w:highlight w:val="none"/>
                <w:lang w:bidi="ar"/>
              </w:rPr>
              <w:t>最终得分</w:t>
            </w:r>
          </w:p>
        </w:tc>
        <w:tc>
          <w:tcPr>
            <w:tcW w:w="8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07CF7427">
            <w:pPr>
              <w:spacing w:line="240" w:lineRule="auto"/>
              <w:rPr>
                <w:rFonts w:hint="eastAsia" w:ascii="宋体" w:hAnsi="宋体" w:eastAsia="宋体" w:cs="宋体"/>
                <w:color w:val="000000"/>
                <w:kern w:val="2"/>
                <w:sz w:val="18"/>
                <w:szCs w:val="18"/>
                <w:highlight w:val="none"/>
              </w:rPr>
            </w:pPr>
          </w:p>
        </w:tc>
      </w:tr>
      <w:tr w14:paraId="4C2047FD">
        <w:tblPrEx>
          <w:tblCellMar>
            <w:top w:w="0" w:type="dxa"/>
            <w:left w:w="0" w:type="dxa"/>
            <w:bottom w:w="0" w:type="dxa"/>
            <w:right w:w="0" w:type="dxa"/>
          </w:tblCellMar>
        </w:tblPrEx>
        <w:trPr>
          <w:trHeight w:val="900" w:hRule="atLeast"/>
        </w:trPr>
        <w:tc>
          <w:tcPr>
            <w:tcW w:w="12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5418FA2">
            <w:pPr>
              <w:widowControl/>
              <w:spacing w:line="240" w:lineRule="auto"/>
              <w:jc w:val="center"/>
              <w:textAlignment w:val="center"/>
              <w:rPr>
                <w:rFonts w:hint="eastAsia" w:ascii="宋体" w:hAnsi="宋体" w:eastAsia="宋体" w:cs="宋体"/>
                <w:b/>
                <w:color w:val="000000"/>
                <w:kern w:val="2"/>
                <w:sz w:val="18"/>
                <w:szCs w:val="18"/>
                <w:highlight w:val="none"/>
              </w:rPr>
            </w:pPr>
            <w:r>
              <w:rPr>
                <w:rFonts w:hint="eastAsia" w:ascii="宋体" w:hAnsi="宋体" w:eastAsia="宋体" w:cs="宋体"/>
                <w:b/>
                <w:color w:val="000000"/>
                <w:kern w:val="0"/>
                <w:sz w:val="18"/>
                <w:szCs w:val="18"/>
                <w:highlight w:val="none"/>
                <w:lang w:bidi="ar"/>
              </w:rPr>
              <w:t>标段人员签字</w:t>
            </w:r>
          </w:p>
        </w:tc>
        <w:tc>
          <w:tcPr>
            <w:tcW w:w="7700" w:type="dxa"/>
            <w:gridSpan w:val="2"/>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23EF2AA">
            <w:pPr>
              <w:spacing w:line="240" w:lineRule="auto"/>
              <w:jc w:val="center"/>
              <w:rPr>
                <w:rFonts w:hint="eastAsia" w:ascii="宋体" w:hAnsi="宋体" w:eastAsia="宋体" w:cs="宋体"/>
                <w:color w:val="000000"/>
                <w:kern w:val="2"/>
                <w:sz w:val="18"/>
                <w:szCs w:val="18"/>
                <w:highlight w:val="none"/>
              </w:rPr>
            </w:pPr>
          </w:p>
        </w:tc>
      </w:tr>
      <w:tr w14:paraId="09C6B0CD">
        <w:tblPrEx>
          <w:tblCellMar>
            <w:top w:w="0" w:type="dxa"/>
            <w:left w:w="0" w:type="dxa"/>
            <w:bottom w:w="0" w:type="dxa"/>
            <w:right w:w="0" w:type="dxa"/>
          </w:tblCellMar>
        </w:tblPrEx>
        <w:trPr>
          <w:trHeight w:val="600" w:hRule="atLeast"/>
        </w:trPr>
        <w:tc>
          <w:tcPr>
            <w:tcW w:w="12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7DFAD27">
            <w:pPr>
              <w:widowControl/>
              <w:spacing w:line="240" w:lineRule="auto"/>
              <w:jc w:val="center"/>
              <w:textAlignment w:val="center"/>
              <w:rPr>
                <w:rFonts w:hint="eastAsia" w:ascii="宋体" w:hAnsi="宋体" w:eastAsia="宋体" w:cs="宋体"/>
                <w:b/>
                <w:color w:val="000000"/>
                <w:kern w:val="2"/>
                <w:sz w:val="18"/>
                <w:szCs w:val="18"/>
                <w:highlight w:val="none"/>
              </w:rPr>
            </w:pPr>
            <w:r>
              <w:rPr>
                <w:rFonts w:hint="eastAsia" w:ascii="宋体" w:hAnsi="宋体" w:eastAsia="宋体" w:cs="宋体"/>
                <w:b/>
                <w:color w:val="000000"/>
                <w:kern w:val="0"/>
                <w:sz w:val="18"/>
                <w:szCs w:val="18"/>
                <w:highlight w:val="none"/>
                <w:lang w:bidi="ar"/>
              </w:rPr>
              <w:t>考核人员签字</w:t>
            </w:r>
          </w:p>
        </w:tc>
        <w:tc>
          <w:tcPr>
            <w:tcW w:w="770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77765E5">
            <w:pPr>
              <w:spacing w:line="240" w:lineRule="auto"/>
              <w:jc w:val="center"/>
              <w:rPr>
                <w:rFonts w:hint="eastAsia" w:ascii="宋体" w:hAnsi="宋体" w:eastAsia="宋体" w:cs="宋体"/>
                <w:color w:val="000000"/>
                <w:kern w:val="2"/>
                <w:sz w:val="18"/>
                <w:szCs w:val="18"/>
                <w:highlight w:val="none"/>
              </w:rPr>
            </w:pPr>
          </w:p>
        </w:tc>
      </w:tr>
    </w:tbl>
    <w:p w14:paraId="21BDB61B">
      <w:pPr>
        <w:spacing w:line="240" w:lineRule="auto"/>
        <w:jc w:val="left"/>
        <w:rPr>
          <w:rFonts w:hint="eastAsia" w:ascii="宋体" w:hAnsi="宋体" w:eastAsia="宋体" w:cs="宋体"/>
          <w:b/>
          <w:bCs/>
          <w:kern w:val="2"/>
          <w:sz w:val="21"/>
          <w:szCs w:val="21"/>
          <w:highlight w:val="none"/>
        </w:rPr>
      </w:pPr>
      <w:r>
        <w:rPr>
          <w:rFonts w:hint="eastAsia" w:ascii="宋体" w:hAnsi="宋体" w:eastAsia="宋体" w:cs="宋体"/>
          <w:b/>
          <w:bCs/>
          <w:kern w:val="2"/>
          <w:sz w:val="21"/>
          <w:szCs w:val="21"/>
          <w:highlight w:val="none"/>
        </w:rPr>
        <w:t xml:space="preserve">                                    </w:t>
      </w:r>
    </w:p>
    <w:p w14:paraId="731DBCFB">
      <w:pPr>
        <w:spacing w:line="240" w:lineRule="auto"/>
        <w:jc w:val="left"/>
        <w:rPr>
          <w:rFonts w:hint="eastAsia" w:ascii="宋体" w:hAnsi="宋体" w:eastAsia="宋体" w:cs="宋体"/>
          <w:b/>
          <w:bCs/>
          <w:kern w:val="2"/>
          <w:sz w:val="21"/>
          <w:szCs w:val="21"/>
          <w:highlight w:val="none"/>
        </w:rPr>
      </w:pPr>
    </w:p>
    <w:p w14:paraId="21B1582E">
      <w:pPr>
        <w:keepNext/>
        <w:keepLines/>
        <w:widowControl w:val="0"/>
        <w:autoSpaceDE w:val="0"/>
        <w:autoSpaceDN w:val="0"/>
        <w:adjustRightInd w:val="0"/>
        <w:spacing w:before="360" w:after="120"/>
        <w:jc w:val="left"/>
        <w:outlineLvl w:val="2"/>
        <w:rPr>
          <w:rFonts w:hint="eastAsia" w:ascii="宋体" w:hAnsi="宋体" w:eastAsia="宋体" w:cs="宋体"/>
          <w:b/>
          <w:bCs/>
          <w:kern w:val="0"/>
          <w:sz w:val="21"/>
          <w:szCs w:val="21"/>
          <w:highlight w:val="none"/>
          <w:u w:val="single"/>
          <w:lang w:val="en-US" w:eastAsia="zh-CN" w:bidi="ar-SA"/>
        </w:rPr>
      </w:pPr>
    </w:p>
    <w:p w14:paraId="653D8DE7">
      <w:pPr>
        <w:rPr>
          <w:rFonts w:hint="eastAsia" w:ascii="宋体" w:hAnsi="宋体" w:eastAsia="宋体" w:cs="宋体"/>
          <w:b/>
          <w:bCs/>
          <w:kern w:val="2"/>
          <w:sz w:val="21"/>
          <w:szCs w:val="21"/>
          <w:highlight w:val="none"/>
        </w:rPr>
      </w:pPr>
    </w:p>
    <w:p w14:paraId="60C85C94">
      <w:pPr>
        <w:keepNext/>
        <w:keepLines/>
        <w:widowControl w:val="0"/>
        <w:autoSpaceDE w:val="0"/>
        <w:autoSpaceDN w:val="0"/>
        <w:adjustRightInd w:val="0"/>
        <w:spacing w:before="360" w:after="120"/>
        <w:jc w:val="left"/>
        <w:outlineLvl w:val="2"/>
        <w:rPr>
          <w:rFonts w:hint="eastAsia" w:ascii="宋体" w:hAnsi="宋体" w:eastAsia="宋体" w:cs="宋体"/>
          <w:b/>
          <w:bCs/>
          <w:kern w:val="0"/>
          <w:sz w:val="21"/>
          <w:szCs w:val="21"/>
          <w:highlight w:val="none"/>
          <w:u w:val="single"/>
          <w:lang w:val="en-US" w:eastAsia="zh-CN" w:bidi="ar-SA"/>
        </w:rPr>
      </w:pPr>
    </w:p>
    <w:p w14:paraId="76D2AFD8">
      <w:pPr>
        <w:rPr>
          <w:rFonts w:hint="eastAsia" w:ascii="宋体" w:hAnsi="宋体" w:eastAsia="宋体" w:cs="宋体"/>
          <w:b/>
          <w:bCs/>
          <w:kern w:val="2"/>
          <w:sz w:val="21"/>
          <w:szCs w:val="21"/>
          <w:highlight w:val="none"/>
        </w:rPr>
      </w:pPr>
    </w:p>
    <w:p w14:paraId="382AC8E9">
      <w:pPr>
        <w:keepNext/>
        <w:keepLines/>
        <w:widowControl w:val="0"/>
        <w:autoSpaceDE w:val="0"/>
        <w:autoSpaceDN w:val="0"/>
        <w:adjustRightInd w:val="0"/>
        <w:spacing w:before="360" w:after="120"/>
        <w:jc w:val="left"/>
        <w:outlineLvl w:val="2"/>
        <w:rPr>
          <w:rFonts w:hint="eastAsia" w:ascii="宋体" w:hAnsi="宋体" w:eastAsia="宋体" w:cs="宋体"/>
          <w:b/>
          <w:bCs/>
          <w:kern w:val="0"/>
          <w:sz w:val="21"/>
          <w:szCs w:val="21"/>
          <w:highlight w:val="none"/>
          <w:u w:val="single"/>
          <w:lang w:val="en-US" w:eastAsia="zh-CN" w:bidi="ar-SA"/>
        </w:rPr>
      </w:pPr>
    </w:p>
    <w:p w14:paraId="047EDB68">
      <w:pPr>
        <w:rPr>
          <w:rFonts w:hint="eastAsia" w:ascii="宋体" w:hAnsi="宋体" w:eastAsia="宋体" w:cs="宋体"/>
          <w:b/>
          <w:bCs/>
          <w:kern w:val="2"/>
          <w:sz w:val="21"/>
          <w:szCs w:val="21"/>
          <w:highlight w:val="none"/>
        </w:rPr>
      </w:pPr>
    </w:p>
    <w:p w14:paraId="698BE3CD">
      <w:pPr>
        <w:keepNext/>
        <w:keepLines/>
        <w:widowControl w:val="0"/>
        <w:autoSpaceDE w:val="0"/>
        <w:autoSpaceDN w:val="0"/>
        <w:adjustRightInd w:val="0"/>
        <w:spacing w:before="360" w:after="120"/>
        <w:jc w:val="left"/>
        <w:outlineLvl w:val="2"/>
        <w:rPr>
          <w:rFonts w:hint="eastAsia" w:ascii="宋体" w:hAnsi="Times New Roman" w:eastAsia="宋体" w:cs="Times New Roman"/>
          <w:b/>
          <w:kern w:val="0"/>
          <w:sz w:val="24"/>
          <w:szCs w:val="20"/>
          <w:highlight w:val="none"/>
          <w:u w:val="single"/>
          <w:lang w:val="en-US" w:eastAsia="zh-CN" w:bidi="ar-SA"/>
        </w:rPr>
      </w:pPr>
    </w:p>
    <w:p w14:paraId="25B88EA7">
      <w:pPr>
        <w:spacing w:line="240" w:lineRule="auto"/>
        <w:jc w:val="center"/>
        <w:rPr>
          <w:rFonts w:hint="eastAsia" w:ascii="宋体" w:hAnsi="宋体" w:eastAsia="宋体" w:cs="宋体"/>
          <w:b/>
          <w:bCs/>
          <w:kern w:val="2"/>
          <w:sz w:val="21"/>
          <w:szCs w:val="21"/>
          <w:highlight w:val="none"/>
        </w:rPr>
      </w:pPr>
      <w:r>
        <w:rPr>
          <w:rFonts w:hint="eastAsia" w:ascii="宋体" w:hAnsi="宋体" w:eastAsia="宋体" w:cs="宋体"/>
          <w:b/>
          <w:bCs/>
          <w:kern w:val="2"/>
          <w:sz w:val="21"/>
          <w:szCs w:val="21"/>
          <w:highlight w:val="none"/>
        </w:rPr>
        <w:t>绿化养护明细表</w:t>
      </w:r>
    </w:p>
    <w:tbl>
      <w:tblPr>
        <w:tblStyle w:val="30"/>
        <w:tblW w:w="9663" w:type="dxa"/>
        <w:tblInd w:w="-43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25"/>
        <w:gridCol w:w="1710"/>
        <w:gridCol w:w="2233"/>
        <w:gridCol w:w="1267"/>
        <w:gridCol w:w="1316"/>
        <w:gridCol w:w="1513"/>
        <w:gridCol w:w="999"/>
      </w:tblGrid>
      <w:tr w14:paraId="1B607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25" w:type="dxa"/>
            <w:tcBorders>
              <w:top w:val="single" w:color="000000" w:sz="4" w:space="0"/>
              <w:left w:val="single" w:color="000000" w:sz="4" w:space="0"/>
              <w:bottom w:val="single" w:color="000000" w:sz="4" w:space="0"/>
              <w:right w:val="single" w:color="000000" w:sz="4" w:space="0"/>
            </w:tcBorders>
            <w:noWrap w:val="0"/>
            <w:vAlign w:val="center"/>
          </w:tcPr>
          <w:p w14:paraId="0B4027DF">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1710" w:type="dxa"/>
            <w:tcBorders>
              <w:top w:val="single" w:color="000000" w:sz="4" w:space="0"/>
              <w:left w:val="single" w:color="000000" w:sz="4" w:space="0"/>
              <w:bottom w:val="single" w:color="000000" w:sz="4" w:space="0"/>
              <w:right w:val="single" w:color="000000" w:sz="4" w:space="0"/>
            </w:tcBorders>
            <w:noWrap w:val="0"/>
            <w:vAlign w:val="center"/>
          </w:tcPr>
          <w:p w14:paraId="1C7E74F7">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道路名称</w:t>
            </w:r>
          </w:p>
        </w:tc>
        <w:tc>
          <w:tcPr>
            <w:tcW w:w="2233" w:type="dxa"/>
            <w:tcBorders>
              <w:top w:val="single" w:color="000000" w:sz="4" w:space="0"/>
              <w:left w:val="single" w:color="000000" w:sz="4" w:space="0"/>
              <w:bottom w:val="single" w:color="000000" w:sz="4" w:space="0"/>
              <w:right w:val="single" w:color="000000" w:sz="4" w:space="0"/>
            </w:tcBorders>
            <w:noWrap w:val="0"/>
            <w:vAlign w:val="center"/>
          </w:tcPr>
          <w:p w14:paraId="03AB670A">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区域</w:t>
            </w:r>
          </w:p>
        </w:tc>
        <w:tc>
          <w:tcPr>
            <w:tcW w:w="1267" w:type="dxa"/>
            <w:tcBorders>
              <w:top w:val="single" w:color="000000" w:sz="4" w:space="0"/>
              <w:left w:val="single" w:color="000000" w:sz="4" w:space="0"/>
              <w:bottom w:val="single" w:color="000000" w:sz="4" w:space="0"/>
              <w:right w:val="single" w:color="000000" w:sz="4" w:space="0"/>
            </w:tcBorders>
            <w:noWrap w:val="0"/>
            <w:vAlign w:val="center"/>
          </w:tcPr>
          <w:p w14:paraId="2B35E8DB">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面积（m2）</w:t>
            </w:r>
          </w:p>
        </w:tc>
        <w:tc>
          <w:tcPr>
            <w:tcW w:w="1316" w:type="dxa"/>
            <w:tcBorders>
              <w:top w:val="single" w:color="000000" w:sz="4" w:space="0"/>
              <w:left w:val="single" w:color="000000" w:sz="4" w:space="0"/>
              <w:bottom w:val="single" w:color="000000" w:sz="4" w:space="0"/>
              <w:right w:val="single" w:color="000000" w:sz="4" w:space="0"/>
            </w:tcBorders>
            <w:noWrap w:val="0"/>
            <w:vAlign w:val="center"/>
          </w:tcPr>
          <w:p w14:paraId="71DB45B4">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绿地等级</w:t>
            </w: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2504C31D">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苗木类型</w:t>
            </w:r>
          </w:p>
        </w:tc>
        <w:tc>
          <w:tcPr>
            <w:tcW w:w="999" w:type="dxa"/>
            <w:tcBorders>
              <w:top w:val="single" w:color="000000" w:sz="4" w:space="0"/>
              <w:left w:val="nil"/>
              <w:bottom w:val="single" w:color="000000" w:sz="4" w:space="0"/>
              <w:right w:val="single" w:color="000000" w:sz="4" w:space="0"/>
            </w:tcBorders>
            <w:noWrap w:val="0"/>
            <w:vAlign w:val="center"/>
          </w:tcPr>
          <w:p w14:paraId="165FE35E">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大型树木</w:t>
            </w:r>
          </w:p>
        </w:tc>
      </w:tr>
      <w:tr w14:paraId="2AAC1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25" w:type="dxa"/>
            <w:tcBorders>
              <w:top w:val="single" w:color="000000" w:sz="4" w:space="0"/>
              <w:left w:val="single" w:color="000000" w:sz="4" w:space="0"/>
              <w:bottom w:val="single" w:color="000000" w:sz="4" w:space="0"/>
              <w:right w:val="single" w:color="000000" w:sz="4" w:space="0"/>
            </w:tcBorders>
            <w:noWrap/>
            <w:vAlign w:val="center"/>
          </w:tcPr>
          <w:p w14:paraId="745DFA22">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一</w:t>
            </w:r>
          </w:p>
        </w:tc>
        <w:tc>
          <w:tcPr>
            <w:tcW w:w="1710" w:type="dxa"/>
            <w:tcBorders>
              <w:top w:val="single" w:color="000000" w:sz="4" w:space="0"/>
              <w:left w:val="single" w:color="000000" w:sz="4" w:space="0"/>
              <w:bottom w:val="single" w:color="000000" w:sz="4" w:space="0"/>
              <w:right w:val="single" w:color="000000" w:sz="4" w:space="0"/>
            </w:tcBorders>
            <w:noWrap/>
            <w:vAlign w:val="center"/>
          </w:tcPr>
          <w:p w14:paraId="398499CE">
            <w:pPr>
              <w:keepNext w:val="0"/>
              <w:keepLines w:val="0"/>
              <w:widowControl/>
              <w:suppressLineNumbers w:val="0"/>
              <w:jc w:val="center"/>
              <w:textAlignment w:val="center"/>
              <w:rPr>
                <w:rFonts w:hint="eastAsia" w:ascii="宋体" w:hAnsi="宋体" w:eastAsia="宋体" w:cs="宋体"/>
                <w:b/>
                <w:bCs/>
                <w:i w:val="0"/>
                <w:iCs w:val="0"/>
                <w:color w:val="FF0000"/>
                <w:kern w:val="2"/>
                <w:sz w:val="21"/>
                <w:szCs w:val="21"/>
                <w:highlight w:val="none"/>
                <w:u w:val="none"/>
              </w:rPr>
            </w:pPr>
            <w:r>
              <w:rPr>
                <w:rFonts w:hint="eastAsia" w:ascii="宋体" w:hAnsi="宋体" w:eastAsia="宋体" w:cs="宋体"/>
                <w:b/>
                <w:bCs/>
                <w:i w:val="0"/>
                <w:iCs w:val="0"/>
                <w:color w:val="FF0000"/>
                <w:kern w:val="0"/>
                <w:sz w:val="21"/>
                <w:szCs w:val="21"/>
                <w:highlight w:val="none"/>
                <w:u w:val="none"/>
                <w:lang w:val="en-US" w:eastAsia="zh-CN" w:bidi="ar"/>
              </w:rPr>
              <w:t>集镇段</w:t>
            </w:r>
          </w:p>
        </w:tc>
        <w:tc>
          <w:tcPr>
            <w:tcW w:w="2233" w:type="dxa"/>
            <w:tcBorders>
              <w:top w:val="single" w:color="000000" w:sz="4" w:space="0"/>
              <w:left w:val="single" w:color="000000" w:sz="4" w:space="0"/>
              <w:bottom w:val="single" w:color="000000" w:sz="4" w:space="0"/>
              <w:right w:val="single" w:color="000000" w:sz="4" w:space="0"/>
            </w:tcBorders>
            <w:noWrap w:val="0"/>
            <w:vAlign w:val="center"/>
          </w:tcPr>
          <w:p w14:paraId="3371E657">
            <w:pPr>
              <w:jc w:val="center"/>
              <w:rPr>
                <w:rFonts w:hint="eastAsia" w:ascii="宋体" w:hAnsi="宋体" w:eastAsia="宋体" w:cs="宋体"/>
                <w:b/>
                <w:bCs/>
                <w:i w:val="0"/>
                <w:iCs w:val="0"/>
                <w:color w:val="FF0000"/>
                <w:kern w:val="2"/>
                <w:sz w:val="21"/>
                <w:szCs w:val="21"/>
                <w:highlight w:val="none"/>
                <w:u w:val="none"/>
              </w:rPr>
            </w:pPr>
          </w:p>
        </w:tc>
        <w:tc>
          <w:tcPr>
            <w:tcW w:w="1267" w:type="dxa"/>
            <w:tcBorders>
              <w:top w:val="single" w:color="000000" w:sz="4" w:space="0"/>
              <w:left w:val="single" w:color="000000" w:sz="4" w:space="0"/>
              <w:bottom w:val="single" w:color="000000" w:sz="4" w:space="0"/>
              <w:right w:val="single" w:color="000000" w:sz="4" w:space="0"/>
            </w:tcBorders>
            <w:noWrap/>
            <w:vAlign w:val="center"/>
          </w:tcPr>
          <w:p w14:paraId="4FBEB8C2">
            <w:pPr>
              <w:keepNext w:val="0"/>
              <w:keepLines w:val="0"/>
              <w:widowControl/>
              <w:suppressLineNumbers w:val="0"/>
              <w:jc w:val="center"/>
              <w:textAlignment w:val="center"/>
              <w:rPr>
                <w:rFonts w:hint="eastAsia" w:ascii="宋体" w:hAnsi="宋体" w:eastAsia="宋体" w:cs="宋体"/>
                <w:b/>
                <w:bCs/>
                <w:i w:val="0"/>
                <w:iCs w:val="0"/>
                <w:color w:val="FF0000"/>
                <w:kern w:val="2"/>
                <w:sz w:val="21"/>
                <w:szCs w:val="21"/>
                <w:highlight w:val="none"/>
                <w:u w:val="none"/>
              </w:rPr>
            </w:pPr>
            <w:r>
              <w:rPr>
                <w:rFonts w:hint="eastAsia" w:ascii="宋体" w:hAnsi="宋体" w:eastAsia="宋体" w:cs="宋体"/>
                <w:b/>
                <w:bCs/>
                <w:i w:val="0"/>
                <w:iCs w:val="0"/>
                <w:color w:val="FF0000"/>
                <w:kern w:val="0"/>
                <w:sz w:val="21"/>
                <w:szCs w:val="21"/>
                <w:highlight w:val="none"/>
                <w:u w:val="none"/>
                <w:lang w:val="en-US" w:eastAsia="zh-CN" w:bidi="ar"/>
              </w:rPr>
              <w:t>20050</w:t>
            </w:r>
          </w:p>
        </w:tc>
        <w:tc>
          <w:tcPr>
            <w:tcW w:w="1316" w:type="dxa"/>
            <w:tcBorders>
              <w:top w:val="single" w:color="000000" w:sz="4" w:space="0"/>
              <w:left w:val="single" w:color="000000" w:sz="4" w:space="0"/>
              <w:bottom w:val="single" w:color="000000" w:sz="4" w:space="0"/>
              <w:right w:val="single" w:color="000000" w:sz="4" w:space="0"/>
            </w:tcBorders>
            <w:noWrap/>
            <w:vAlign w:val="center"/>
          </w:tcPr>
          <w:p w14:paraId="790522C9">
            <w:pPr>
              <w:jc w:val="center"/>
              <w:rPr>
                <w:rFonts w:hint="eastAsia" w:ascii="宋体" w:hAnsi="宋体" w:eastAsia="宋体" w:cs="宋体"/>
                <w:b/>
                <w:bCs/>
                <w:i w:val="0"/>
                <w:iCs w:val="0"/>
                <w:color w:val="000000"/>
                <w:kern w:val="2"/>
                <w:sz w:val="21"/>
                <w:szCs w:val="21"/>
                <w:highlight w:val="none"/>
                <w:u w:val="none"/>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4F86D8BC">
            <w:pPr>
              <w:jc w:val="center"/>
              <w:rPr>
                <w:rFonts w:hint="eastAsia" w:ascii="宋体" w:hAnsi="宋体" w:eastAsia="宋体" w:cs="宋体"/>
                <w:b/>
                <w:bCs/>
                <w:i w:val="0"/>
                <w:iCs w:val="0"/>
                <w:color w:val="000000"/>
                <w:kern w:val="2"/>
                <w:sz w:val="21"/>
                <w:szCs w:val="21"/>
                <w:highlight w:val="none"/>
                <w:u w:val="none"/>
              </w:rPr>
            </w:pPr>
          </w:p>
        </w:tc>
        <w:tc>
          <w:tcPr>
            <w:tcW w:w="999" w:type="dxa"/>
            <w:tcBorders>
              <w:top w:val="single" w:color="000000" w:sz="4" w:space="0"/>
              <w:left w:val="nil"/>
              <w:bottom w:val="single" w:color="000000" w:sz="4" w:space="0"/>
              <w:right w:val="single" w:color="000000" w:sz="4" w:space="0"/>
            </w:tcBorders>
            <w:noWrap/>
            <w:vAlign w:val="center"/>
          </w:tcPr>
          <w:p w14:paraId="5CC3546D">
            <w:pPr>
              <w:jc w:val="center"/>
              <w:rPr>
                <w:rFonts w:hint="eastAsia" w:ascii="宋体" w:hAnsi="宋体" w:eastAsia="宋体" w:cs="宋体"/>
                <w:i w:val="0"/>
                <w:iCs w:val="0"/>
                <w:color w:val="000000"/>
                <w:kern w:val="2"/>
                <w:sz w:val="21"/>
                <w:szCs w:val="21"/>
                <w:highlight w:val="none"/>
                <w:u w:val="none"/>
              </w:rPr>
            </w:pPr>
          </w:p>
        </w:tc>
      </w:tr>
      <w:tr w14:paraId="5EB7C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25" w:type="dxa"/>
            <w:tcBorders>
              <w:top w:val="single" w:color="000000" w:sz="4" w:space="0"/>
              <w:left w:val="single" w:color="000000" w:sz="4" w:space="0"/>
              <w:bottom w:val="single" w:color="000000" w:sz="4" w:space="0"/>
              <w:right w:val="single" w:color="000000" w:sz="4" w:space="0"/>
            </w:tcBorders>
            <w:noWrap/>
            <w:vAlign w:val="center"/>
          </w:tcPr>
          <w:p w14:paraId="7A5DAF18">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710" w:type="dxa"/>
            <w:tcBorders>
              <w:top w:val="single" w:color="000000" w:sz="4" w:space="0"/>
              <w:left w:val="single" w:color="000000" w:sz="4" w:space="0"/>
              <w:bottom w:val="single" w:color="000000" w:sz="4" w:space="0"/>
              <w:right w:val="single" w:color="000000" w:sz="4" w:space="0"/>
            </w:tcBorders>
            <w:noWrap/>
            <w:vAlign w:val="center"/>
          </w:tcPr>
          <w:p w14:paraId="48995960">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华林路</w:t>
            </w:r>
          </w:p>
        </w:tc>
        <w:tc>
          <w:tcPr>
            <w:tcW w:w="2233" w:type="dxa"/>
            <w:tcBorders>
              <w:top w:val="single" w:color="000000" w:sz="4" w:space="0"/>
              <w:left w:val="single" w:color="000000" w:sz="4" w:space="0"/>
              <w:bottom w:val="single" w:color="000000" w:sz="4" w:space="0"/>
              <w:right w:val="single" w:color="000000" w:sz="4" w:space="0"/>
            </w:tcBorders>
            <w:noWrap w:val="0"/>
            <w:vAlign w:val="center"/>
          </w:tcPr>
          <w:p w14:paraId="67E63A29">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两侧（红旗圩双桥-S340）</w:t>
            </w:r>
          </w:p>
        </w:tc>
        <w:tc>
          <w:tcPr>
            <w:tcW w:w="1267" w:type="dxa"/>
            <w:tcBorders>
              <w:top w:val="single" w:color="000000" w:sz="4" w:space="0"/>
              <w:left w:val="single" w:color="000000" w:sz="4" w:space="0"/>
              <w:bottom w:val="single" w:color="000000" w:sz="4" w:space="0"/>
              <w:right w:val="single" w:color="000000" w:sz="4" w:space="0"/>
            </w:tcBorders>
            <w:noWrap/>
            <w:vAlign w:val="center"/>
          </w:tcPr>
          <w:p w14:paraId="480B015F">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8050</w:t>
            </w:r>
          </w:p>
        </w:tc>
        <w:tc>
          <w:tcPr>
            <w:tcW w:w="1316" w:type="dxa"/>
            <w:tcBorders>
              <w:top w:val="single" w:color="000000" w:sz="4" w:space="0"/>
              <w:left w:val="single" w:color="000000" w:sz="4" w:space="0"/>
              <w:bottom w:val="single" w:color="000000" w:sz="4" w:space="0"/>
              <w:right w:val="single" w:color="000000" w:sz="4" w:space="0"/>
            </w:tcBorders>
            <w:noWrap/>
            <w:vAlign w:val="center"/>
          </w:tcPr>
          <w:p w14:paraId="1821A05A">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四级</w:t>
            </w: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14F6D6F6">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有树有灌木</w:t>
            </w:r>
          </w:p>
        </w:tc>
        <w:tc>
          <w:tcPr>
            <w:tcW w:w="999" w:type="dxa"/>
            <w:tcBorders>
              <w:top w:val="single" w:color="000000" w:sz="4" w:space="0"/>
              <w:left w:val="nil"/>
              <w:bottom w:val="single" w:color="000000" w:sz="4" w:space="0"/>
              <w:right w:val="single" w:color="000000" w:sz="4" w:space="0"/>
            </w:tcBorders>
            <w:noWrap/>
            <w:vAlign w:val="center"/>
          </w:tcPr>
          <w:p w14:paraId="75672C87">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r>
      <w:tr w14:paraId="7C44A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25" w:type="dxa"/>
            <w:tcBorders>
              <w:top w:val="single" w:color="000000" w:sz="4" w:space="0"/>
              <w:left w:val="single" w:color="000000" w:sz="4" w:space="0"/>
              <w:bottom w:val="single" w:color="000000" w:sz="4" w:space="0"/>
              <w:right w:val="single" w:color="000000" w:sz="4" w:space="0"/>
            </w:tcBorders>
            <w:noWrap/>
            <w:vAlign w:val="center"/>
          </w:tcPr>
          <w:p w14:paraId="6D81EA94">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1710" w:type="dxa"/>
            <w:tcBorders>
              <w:top w:val="single" w:color="000000" w:sz="4" w:space="0"/>
              <w:left w:val="single" w:color="000000" w:sz="4" w:space="0"/>
              <w:bottom w:val="single" w:color="000000" w:sz="4" w:space="0"/>
              <w:right w:val="single" w:color="000000" w:sz="4" w:space="0"/>
            </w:tcBorders>
            <w:noWrap/>
            <w:vAlign w:val="center"/>
          </w:tcPr>
          <w:p w14:paraId="627AA473">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朱林大街</w:t>
            </w:r>
          </w:p>
        </w:tc>
        <w:tc>
          <w:tcPr>
            <w:tcW w:w="2233" w:type="dxa"/>
            <w:tcBorders>
              <w:top w:val="single" w:color="000000" w:sz="4" w:space="0"/>
              <w:left w:val="single" w:color="000000" w:sz="4" w:space="0"/>
              <w:bottom w:val="single" w:color="000000" w:sz="4" w:space="0"/>
              <w:right w:val="single" w:color="000000" w:sz="4" w:space="0"/>
            </w:tcBorders>
            <w:noWrap w:val="0"/>
            <w:vAlign w:val="center"/>
          </w:tcPr>
          <w:p w14:paraId="6DC34AF4">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两侧、中间</w:t>
            </w:r>
          </w:p>
        </w:tc>
        <w:tc>
          <w:tcPr>
            <w:tcW w:w="1267" w:type="dxa"/>
            <w:tcBorders>
              <w:top w:val="single" w:color="000000" w:sz="4" w:space="0"/>
              <w:left w:val="single" w:color="000000" w:sz="4" w:space="0"/>
              <w:bottom w:val="single" w:color="000000" w:sz="4" w:space="0"/>
              <w:right w:val="single" w:color="000000" w:sz="4" w:space="0"/>
            </w:tcBorders>
            <w:noWrap/>
            <w:vAlign w:val="center"/>
          </w:tcPr>
          <w:p w14:paraId="4BCFB76A">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4200</w:t>
            </w:r>
          </w:p>
        </w:tc>
        <w:tc>
          <w:tcPr>
            <w:tcW w:w="1316" w:type="dxa"/>
            <w:tcBorders>
              <w:top w:val="single" w:color="000000" w:sz="4" w:space="0"/>
              <w:left w:val="single" w:color="000000" w:sz="4" w:space="0"/>
              <w:bottom w:val="single" w:color="000000" w:sz="4" w:space="0"/>
              <w:right w:val="single" w:color="000000" w:sz="4" w:space="0"/>
            </w:tcBorders>
            <w:noWrap/>
            <w:vAlign w:val="center"/>
          </w:tcPr>
          <w:p w14:paraId="07508EED">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四级</w:t>
            </w: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717BB9DC">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有树有灌木</w:t>
            </w:r>
          </w:p>
        </w:tc>
        <w:tc>
          <w:tcPr>
            <w:tcW w:w="999" w:type="dxa"/>
            <w:tcBorders>
              <w:top w:val="single" w:color="000000" w:sz="4" w:space="0"/>
              <w:left w:val="nil"/>
              <w:bottom w:val="single" w:color="000000" w:sz="4" w:space="0"/>
              <w:right w:val="single" w:color="000000" w:sz="4" w:space="0"/>
            </w:tcBorders>
            <w:noWrap/>
            <w:vAlign w:val="center"/>
          </w:tcPr>
          <w:p w14:paraId="1738E44E">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580</w:t>
            </w:r>
          </w:p>
        </w:tc>
      </w:tr>
      <w:tr w14:paraId="657F8B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25" w:type="dxa"/>
            <w:tcBorders>
              <w:top w:val="single" w:color="000000" w:sz="4" w:space="0"/>
              <w:left w:val="single" w:color="000000" w:sz="4" w:space="0"/>
              <w:bottom w:val="single" w:color="000000" w:sz="4" w:space="0"/>
              <w:right w:val="single" w:color="000000" w:sz="4" w:space="0"/>
            </w:tcBorders>
            <w:noWrap/>
            <w:vAlign w:val="center"/>
          </w:tcPr>
          <w:p w14:paraId="11AAAFA7">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1710" w:type="dxa"/>
            <w:tcBorders>
              <w:top w:val="single" w:color="000000" w:sz="4" w:space="0"/>
              <w:left w:val="single" w:color="000000" w:sz="4" w:space="0"/>
              <w:bottom w:val="single" w:color="000000" w:sz="4" w:space="0"/>
              <w:right w:val="single" w:color="000000" w:sz="4" w:space="0"/>
            </w:tcBorders>
            <w:noWrap/>
            <w:vAlign w:val="center"/>
          </w:tcPr>
          <w:p w14:paraId="195FFCCB">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集镇所有花池</w:t>
            </w:r>
          </w:p>
        </w:tc>
        <w:tc>
          <w:tcPr>
            <w:tcW w:w="2233" w:type="dxa"/>
            <w:tcBorders>
              <w:top w:val="single" w:color="000000" w:sz="4" w:space="0"/>
              <w:left w:val="single" w:color="000000" w:sz="4" w:space="0"/>
              <w:bottom w:val="single" w:color="000000" w:sz="4" w:space="0"/>
              <w:right w:val="single" w:color="000000" w:sz="4" w:space="0"/>
            </w:tcBorders>
            <w:noWrap w:val="0"/>
            <w:vAlign w:val="center"/>
          </w:tcPr>
          <w:p w14:paraId="6CBF06B3">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集镇</w:t>
            </w:r>
          </w:p>
        </w:tc>
        <w:tc>
          <w:tcPr>
            <w:tcW w:w="1267" w:type="dxa"/>
            <w:tcBorders>
              <w:top w:val="single" w:color="000000" w:sz="4" w:space="0"/>
              <w:left w:val="single" w:color="000000" w:sz="4" w:space="0"/>
              <w:bottom w:val="single" w:color="000000" w:sz="4" w:space="0"/>
              <w:right w:val="single" w:color="000000" w:sz="4" w:space="0"/>
            </w:tcBorders>
            <w:noWrap/>
            <w:vAlign w:val="center"/>
          </w:tcPr>
          <w:p w14:paraId="1AB4FAAE">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1000</w:t>
            </w:r>
          </w:p>
        </w:tc>
        <w:tc>
          <w:tcPr>
            <w:tcW w:w="1316" w:type="dxa"/>
            <w:tcBorders>
              <w:top w:val="single" w:color="000000" w:sz="4" w:space="0"/>
              <w:left w:val="single" w:color="000000" w:sz="4" w:space="0"/>
              <w:bottom w:val="single" w:color="000000" w:sz="4" w:space="0"/>
              <w:right w:val="single" w:color="000000" w:sz="4" w:space="0"/>
            </w:tcBorders>
            <w:noWrap/>
            <w:vAlign w:val="center"/>
          </w:tcPr>
          <w:p w14:paraId="117E5EE4">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四级</w:t>
            </w: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4357EED0">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灌木</w:t>
            </w:r>
          </w:p>
        </w:tc>
        <w:tc>
          <w:tcPr>
            <w:tcW w:w="999" w:type="dxa"/>
            <w:tcBorders>
              <w:top w:val="single" w:color="000000" w:sz="4" w:space="0"/>
              <w:left w:val="nil"/>
              <w:bottom w:val="single" w:color="000000" w:sz="4" w:space="0"/>
              <w:right w:val="single" w:color="000000" w:sz="4" w:space="0"/>
            </w:tcBorders>
            <w:noWrap/>
            <w:vAlign w:val="center"/>
          </w:tcPr>
          <w:p w14:paraId="4E22CCD8">
            <w:pPr>
              <w:jc w:val="center"/>
              <w:rPr>
                <w:rFonts w:hint="eastAsia" w:ascii="宋体" w:hAnsi="宋体" w:eastAsia="宋体" w:cs="宋体"/>
                <w:i w:val="0"/>
                <w:iCs w:val="0"/>
                <w:color w:val="000000"/>
                <w:kern w:val="2"/>
                <w:sz w:val="21"/>
                <w:szCs w:val="21"/>
                <w:highlight w:val="none"/>
                <w:u w:val="none"/>
              </w:rPr>
            </w:pPr>
          </w:p>
        </w:tc>
      </w:tr>
      <w:tr w14:paraId="2795C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25" w:type="dxa"/>
            <w:tcBorders>
              <w:top w:val="single" w:color="000000" w:sz="4" w:space="0"/>
              <w:left w:val="single" w:color="000000" w:sz="4" w:space="0"/>
              <w:bottom w:val="single" w:color="000000" w:sz="4" w:space="0"/>
              <w:right w:val="single" w:color="000000" w:sz="4" w:space="0"/>
            </w:tcBorders>
            <w:noWrap/>
            <w:vAlign w:val="center"/>
          </w:tcPr>
          <w:p w14:paraId="3E6F4CAD">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1710" w:type="dxa"/>
            <w:tcBorders>
              <w:top w:val="single" w:color="000000" w:sz="4" w:space="0"/>
              <w:left w:val="single" w:color="000000" w:sz="4" w:space="0"/>
              <w:bottom w:val="single" w:color="000000" w:sz="4" w:space="0"/>
              <w:right w:val="single" w:color="000000" w:sz="4" w:space="0"/>
            </w:tcBorders>
            <w:noWrap/>
            <w:vAlign w:val="center"/>
          </w:tcPr>
          <w:p w14:paraId="4B3EE718">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镇区小游园</w:t>
            </w:r>
          </w:p>
        </w:tc>
        <w:tc>
          <w:tcPr>
            <w:tcW w:w="2233" w:type="dxa"/>
            <w:tcBorders>
              <w:top w:val="single" w:color="000000" w:sz="4" w:space="0"/>
              <w:left w:val="single" w:color="000000" w:sz="4" w:space="0"/>
              <w:bottom w:val="single" w:color="000000" w:sz="4" w:space="0"/>
              <w:right w:val="single" w:color="000000" w:sz="4" w:space="0"/>
            </w:tcBorders>
            <w:noWrap w:val="0"/>
            <w:vAlign w:val="center"/>
          </w:tcPr>
          <w:p w14:paraId="2396AB2B">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朱林村委对面</w:t>
            </w:r>
          </w:p>
        </w:tc>
        <w:tc>
          <w:tcPr>
            <w:tcW w:w="1267" w:type="dxa"/>
            <w:tcBorders>
              <w:top w:val="single" w:color="000000" w:sz="4" w:space="0"/>
              <w:left w:val="single" w:color="000000" w:sz="4" w:space="0"/>
              <w:bottom w:val="single" w:color="000000" w:sz="4" w:space="0"/>
              <w:right w:val="single" w:color="000000" w:sz="4" w:space="0"/>
            </w:tcBorders>
            <w:noWrap/>
            <w:vAlign w:val="center"/>
          </w:tcPr>
          <w:p w14:paraId="5779B13D">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3000</w:t>
            </w:r>
          </w:p>
        </w:tc>
        <w:tc>
          <w:tcPr>
            <w:tcW w:w="1316" w:type="dxa"/>
            <w:tcBorders>
              <w:top w:val="single" w:color="000000" w:sz="4" w:space="0"/>
              <w:left w:val="single" w:color="000000" w:sz="4" w:space="0"/>
              <w:bottom w:val="single" w:color="000000" w:sz="4" w:space="0"/>
              <w:right w:val="single" w:color="000000" w:sz="4" w:space="0"/>
            </w:tcBorders>
            <w:noWrap/>
            <w:vAlign w:val="center"/>
          </w:tcPr>
          <w:p w14:paraId="7F21F268">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四级</w:t>
            </w: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05AE6341">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有树有灌木</w:t>
            </w:r>
          </w:p>
        </w:tc>
        <w:tc>
          <w:tcPr>
            <w:tcW w:w="999" w:type="dxa"/>
            <w:tcBorders>
              <w:top w:val="single" w:color="000000" w:sz="4" w:space="0"/>
              <w:left w:val="nil"/>
              <w:bottom w:val="single" w:color="000000" w:sz="4" w:space="0"/>
              <w:right w:val="single" w:color="000000" w:sz="4" w:space="0"/>
            </w:tcBorders>
            <w:noWrap/>
            <w:vAlign w:val="center"/>
          </w:tcPr>
          <w:p w14:paraId="5B214D60">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w:t>
            </w:r>
          </w:p>
        </w:tc>
      </w:tr>
      <w:tr w14:paraId="2E1D1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25" w:type="dxa"/>
            <w:tcBorders>
              <w:top w:val="single" w:color="000000" w:sz="4" w:space="0"/>
              <w:left w:val="single" w:color="000000" w:sz="4" w:space="0"/>
              <w:bottom w:val="single" w:color="000000" w:sz="4" w:space="0"/>
              <w:right w:val="single" w:color="000000" w:sz="4" w:space="0"/>
            </w:tcBorders>
            <w:noWrap/>
            <w:vAlign w:val="center"/>
          </w:tcPr>
          <w:p w14:paraId="6B8E67B4">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1710" w:type="dxa"/>
            <w:tcBorders>
              <w:top w:val="single" w:color="000000" w:sz="4" w:space="0"/>
              <w:left w:val="single" w:color="000000" w:sz="4" w:space="0"/>
              <w:bottom w:val="single" w:color="000000" w:sz="4" w:space="0"/>
              <w:right w:val="single" w:color="000000" w:sz="4" w:space="0"/>
            </w:tcBorders>
            <w:noWrap/>
            <w:vAlign w:val="center"/>
          </w:tcPr>
          <w:p w14:paraId="4B0906D9">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集镇所有行道树</w:t>
            </w:r>
          </w:p>
        </w:tc>
        <w:tc>
          <w:tcPr>
            <w:tcW w:w="2233" w:type="dxa"/>
            <w:tcBorders>
              <w:top w:val="single" w:color="000000" w:sz="4" w:space="0"/>
              <w:left w:val="single" w:color="000000" w:sz="4" w:space="0"/>
              <w:bottom w:val="single" w:color="000000" w:sz="4" w:space="0"/>
              <w:right w:val="single" w:color="000000" w:sz="4" w:space="0"/>
            </w:tcBorders>
            <w:noWrap w:val="0"/>
            <w:vAlign w:val="center"/>
          </w:tcPr>
          <w:p w14:paraId="29D7E118">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文化路、人民街、朱延路</w:t>
            </w:r>
          </w:p>
        </w:tc>
        <w:tc>
          <w:tcPr>
            <w:tcW w:w="1267" w:type="dxa"/>
            <w:tcBorders>
              <w:top w:val="single" w:color="000000" w:sz="4" w:space="0"/>
              <w:left w:val="single" w:color="000000" w:sz="4" w:space="0"/>
              <w:bottom w:val="single" w:color="000000" w:sz="4" w:space="0"/>
              <w:right w:val="single" w:color="000000" w:sz="4" w:space="0"/>
            </w:tcBorders>
            <w:noWrap/>
            <w:vAlign w:val="center"/>
          </w:tcPr>
          <w:p w14:paraId="42ECE5DC">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1500</w:t>
            </w:r>
          </w:p>
        </w:tc>
        <w:tc>
          <w:tcPr>
            <w:tcW w:w="1316" w:type="dxa"/>
            <w:tcBorders>
              <w:top w:val="single" w:color="000000" w:sz="4" w:space="0"/>
              <w:left w:val="single" w:color="000000" w:sz="4" w:space="0"/>
              <w:bottom w:val="single" w:color="000000" w:sz="4" w:space="0"/>
              <w:right w:val="single" w:color="000000" w:sz="4" w:space="0"/>
            </w:tcBorders>
            <w:noWrap/>
            <w:vAlign w:val="center"/>
          </w:tcPr>
          <w:p w14:paraId="54526A81">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四级</w:t>
            </w: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35953A04">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有树有灌木</w:t>
            </w:r>
          </w:p>
        </w:tc>
        <w:tc>
          <w:tcPr>
            <w:tcW w:w="999" w:type="dxa"/>
            <w:tcBorders>
              <w:top w:val="single" w:color="000000" w:sz="4" w:space="0"/>
              <w:left w:val="nil"/>
              <w:bottom w:val="single" w:color="000000" w:sz="4" w:space="0"/>
              <w:right w:val="single" w:color="000000" w:sz="4" w:space="0"/>
            </w:tcBorders>
            <w:noWrap/>
            <w:vAlign w:val="center"/>
          </w:tcPr>
          <w:p w14:paraId="0B3B2FC2">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80</w:t>
            </w:r>
          </w:p>
        </w:tc>
      </w:tr>
      <w:tr w14:paraId="7C097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25" w:type="dxa"/>
            <w:tcBorders>
              <w:top w:val="single" w:color="000000" w:sz="4" w:space="0"/>
              <w:left w:val="single" w:color="000000" w:sz="4" w:space="0"/>
              <w:bottom w:val="single" w:color="000000" w:sz="4" w:space="0"/>
              <w:right w:val="single" w:color="000000" w:sz="4" w:space="0"/>
            </w:tcBorders>
            <w:noWrap/>
            <w:vAlign w:val="center"/>
          </w:tcPr>
          <w:p w14:paraId="727FEB72">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1710" w:type="dxa"/>
            <w:tcBorders>
              <w:top w:val="single" w:color="000000" w:sz="4" w:space="0"/>
              <w:left w:val="single" w:color="000000" w:sz="4" w:space="0"/>
              <w:bottom w:val="single" w:color="000000" w:sz="4" w:space="0"/>
              <w:right w:val="single" w:color="000000" w:sz="4" w:space="0"/>
            </w:tcBorders>
            <w:noWrap/>
            <w:vAlign w:val="center"/>
          </w:tcPr>
          <w:p w14:paraId="6DBFE3FF">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政府大院内</w:t>
            </w:r>
          </w:p>
        </w:tc>
        <w:tc>
          <w:tcPr>
            <w:tcW w:w="2233" w:type="dxa"/>
            <w:tcBorders>
              <w:top w:val="single" w:color="000000" w:sz="4" w:space="0"/>
              <w:left w:val="single" w:color="000000" w:sz="4" w:space="0"/>
              <w:bottom w:val="single" w:color="000000" w:sz="4" w:space="0"/>
              <w:right w:val="single" w:color="000000" w:sz="4" w:space="0"/>
            </w:tcBorders>
            <w:noWrap w:val="0"/>
            <w:vAlign w:val="center"/>
          </w:tcPr>
          <w:p w14:paraId="5DC7D190">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一处</w:t>
            </w:r>
          </w:p>
        </w:tc>
        <w:tc>
          <w:tcPr>
            <w:tcW w:w="1267" w:type="dxa"/>
            <w:tcBorders>
              <w:top w:val="single" w:color="000000" w:sz="4" w:space="0"/>
              <w:left w:val="single" w:color="000000" w:sz="4" w:space="0"/>
              <w:bottom w:val="single" w:color="000000" w:sz="4" w:space="0"/>
              <w:right w:val="single" w:color="000000" w:sz="4" w:space="0"/>
            </w:tcBorders>
            <w:noWrap/>
            <w:vAlign w:val="center"/>
          </w:tcPr>
          <w:p w14:paraId="5D3A5D19">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500</w:t>
            </w:r>
          </w:p>
        </w:tc>
        <w:tc>
          <w:tcPr>
            <w:tcW w:w="1316" w:type="dxa"/>
            <w:tcBorders>
              <w:top w:val="single" w:color="000000" w:sz="4" w:space="0"/>
              <w:left w:val="single" w:color="000000" w:sz="4" w:space="0"/>
              <w:bottom w:val="single" w:color="000000" w:sz="4" w:space="0"/>
              <w:right w:val="single" w:color="000000" w:sz="4" w:space="0"/>
            </w:tcBorders>
            <w:noWrap/>
            <w:vAlign w:val="center"/>
          </w:tcPr>
          <w:p w14:paraId="7FCAE87A">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四级</w:t>
            </w: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367A3875">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树</w:t>
            </w:r>
          </w:p>
        </w:tc>
        <w:tc>
          <w:tcPr>
            <w:tcW w:w="999" w:type="dxa"/>
            <w:tcBorders>
              <w:top w:val="single" w:color="000000" w:sz="4" w:space="0"/>
              <w:left w:val="nil"/>
              <w:bottom w:val="single" w:color="000000" w:sz="4" w:space="0"/>
              <w:right w:val="single" w:color="000000" w:sz="4" w:space="0"/>
            </w:tcBorders>
            <w:noWrap/>
            <w:vAlign w:val="center"/>
          </w:tcPr>
          <w:p w14:paraId="6C9CE028">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17</w:t>
            </w:r>
          </w:p>
        </w:tc>
      </w:tr>
      <w:tr w14:paraId="2477ED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25" w:type="dxa"/>
            <w:tcBorders>
              <w:top w:val="single" w:color="000000" w:sz="4" w:space="0"/>
              <w:left w:val="single" w:color="000000" w:sz="4" w:space="0"/>
              <w:bottom w:val="single" w:color="000000" w:sz="4" w:space="0"/>
              <w:right w:val="single" w:color="000000" w:sz="4" w:space="0"/>
            </w:tcBorders>
            <w:noWrap/>
            <w:vAlign w:val="center"/>
          </w:tcPr>
          <w:p w14:paraId="3BC74D63">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w:t>
            </w:r>
          </w:p>
        </w:tc>
        <w:tc>
          <w:tcPr>
            <w:tcW w:w="1710" w:type="dxa"/>
            <w:tcBorders>
              <w:top w:val="single" w:color="000000" w:sz="4" w:space="0"/>
              <w:left w:val="single" w:color="000000" w:sz="4" w:space="0"/>
              <w:bottom w:val="single" w:color="000000" w:sz="4" w:space="0"/>
              <w:right w:val="single" w:color="000000" w:sz="4" w:space="0"/>
            </w:tcBorders>
            <w:noWrap/>
            <w:vAlign w:val="center"/>
          </w:tcPr>
          <w:p w14:paraId="063416C7">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中心家园</w:t>
            </w:r>
          </w:p>
        </w:tc>
        <w:tc>
          <w:tcPr>
            <w:tcW w:w="2233" w:type="dxa"/>
            <w:tcBorders>
              <w:top w:val="single" w:color="000000" w:sz="4" w:space="0"/>
              <w:left w:val="single" w:color="000000" w:sz="4" w:space="0"/>
              <w:bottom w:val="single" w:color="000000" w:sz="4" w:space="0"/>
              <w:right w:val="single" w:color="000000" w:sz="4" w:space="0"/>
            </w:tcBorders>
            <w:noWrap w:val="0"/>
            <w:vAlign w:val="center"/>
          </w:tcPr>
          <w:p w14:paraId="0061A199">
            <w:pPr>
              <w:jc w:val="center"/>
              <w:rPr>
                <w:rFonts w:hint="eastAsia" w:ascii="宋体" w:hAnsi="宋体" w:eastAsia="宋体" w:cs="宋体"/>
                <w:i w:val="0"/>
                <w:iCs w:val="0"/>
                <w:color w:val="000000"/>
                <w:kern w:val="2"/>
                <w:sz w:val="21"/>
                <w:szCs w:val="21"/>
                <w:highlight w:val="none"/>
                <w:u w:val="none"/>
              </w:rPr>
            </w:pPr>
          </w:p>
        </w:tc>
        <w:tc>
          <w:tcPr>
            <w:tcW w:w="1267" w:type="dxa"/>
            <w:tcBorders>
              <w:top w:val="single" w:color="000000" w:sz="4" w:space="0"/>
              <w:left w:val="single" w:color="000000" w:sz="4" w:space="0"/>
              <w:bottom w:val="single" w:color="000000" w:sz="4" w:space="0"/>
              <w:right w:val="single" w:color="000000" w:sz="4" w:space="0"/>
            </w:tcBorders>
            <w:noWrap/>
            <w:vAlign w:val="center"/>
          </w:tcPr>
          <w:p w14:paraId="396734CF">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300</w:t>
            </w:r>
          </w:p>
        </w:tc>
        <w:tc>
          <w:tcPr>
            <w:tcW w:w="1316" w:type="dxa"/>
            <w:tcBorders>
              <w:top w:val="single" w:color="000000" w:sz="4" w:space="0"/>
              <w:left w:val="single" w:color="000000" w:sz="4" w:space="0"/>
              <w:bottom w:val="single" w:color="000000" w:sz="4" w:space="0"/>
              <w:right w:val="single" w:color="000000" w:sz="4" w:space="0"/>
            </w:tcBorders>
            <w:noWrap/>
            <w:vAlign w:val="center"/>
          </w:tcPr>
          <w:p w14:paraId="3DCA4786">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四级</w:t>
            </w: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0E1DC28C">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灌木</w:t>
            </w:r>
          </w:p>
        </w:tc>
        <w:tc>
          <w:tcPr>
            <w:tcW w:w="999" w:type="dxa"/>
            <w:tcBorders>
              <w:top w:val="single" w:color="000000" w:sz="4" w:space="0"/>
              <w:left w:val="nil"/>
              <w:bottom w:val="single" w:color="000000" w:sz="4" w:space="0"/>
              <w:right w:val="single" w:color="000000" w:sz="4" w:space="0"/>
            </w:tcBorders>
            <w:noWrap/>
            <w:vAlign w:val="center"/>
          </w:tcPr>
          <w:p w14:paraId="24A6FD55">
            <w:pPr>
              <w:jc w:val="center"/>
              <w:rPr>
                <w:rFonts w:hint="eastAsia" w:ascii="宋体" w:hAnsi="宋体" w:eastAsia="宋体" w:cs="宋体"/>
                <w:i w:val="0"/>
                <w:iCs w:val="0"/>
                <w:color w:val="000000"/>
                <w:kern w:val="2"/>
                <w:sz w:val="21"/>
                <w:szCs w:val="21"/>
                <w:highlight w:val="none"/>
                <w:u w:val="none"/>
              </w:rPr>
            </w:pPr>
          </w:p>
        </w:tc>
      </w:tr>
      <w:tr w14:paraId="11E958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25" w:type="dxa"/>
            <w:tcBorders>
              <w:top w:val="single" w:color="000000" w:sz="4" w:space="0"/>
              <w:left w:val="single" w:color="000000" w:sz="4" w:space="0"/>
              <w:bottom w:val="single" w:color="000000" w:sz="4" w:space="0"/>
              <w:right w:val="single" w:color="000000" w:sz="4" w:space="0"/>
            </w:tcBorders>
            <w:noWrap/>
            <w:vAlign w:val="center"/>
          </w:tcPr>
          <w:p w14:paraId="7C0AC5E6">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w:t>
            </w:r>
          </w:p>
        </w:tc>
        <w:tc>
          <w:tcPr>
            <w:tcW w:w="1710" w:type="dxa"/>
            <w:tcBorders>
              <w:top w:val="single" w:color="000000" w:sz="4" w:space="0"/>
              <w:left w:val="single" w:color="000000" w:sz="4" w:space="0"/>
              <w:bottom w:val="single" w:color="000000" w:sz="4" w:space="0"/>
              <w:right w:val="single" w:color="000000" w:sz="4" w:space="0"/>
            </w:tcBorders>
            <w:noWrap/>
            <w:vAlign w:val="center"/>
          </w:tcPr>
          <w:p w14:paraId="57C02EF2">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晨风路</w:t>
            </w:r>
          </w:p>
        </w:tc>
        <w:tc>
          <w:tcPr>
            <w:tcW w:w="2233" w:type="dxa"/>
            <w:tcBorders>
              <w:top w:val="single" w:color="000000" w:sz="4" w:space="0"/>
              <w:left w:val="single" w:color="000000" w:sz="4" w:space="0"/>
              <w:bottom w:val="single" w:color="000000" w:sz="4" w:space="0"/>
              <w:right w:val="single" w:color="000000" w:sz="4" w:space="0"/>
            </w:tcBorders>
            <w:noWrap w:val="0"/>
            <w:vAlign w:val="center"/>
          </w:tcPr>
          <w:p w14:paraId="7A273890">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两侧</w:t>
            </w:r>
          </w:p>
        </w:tc>
        <w:tc>
          <w:tcPr>
            <w:tcW w:w="1267" w:type="dxa"/>
            <w:tcBorders>
              <w:top w:val="single" w:color="000000" w:sz="4" w:space="0"/>
              <w:left w:val="single" w:color="000000" w:sz="4" w:space="0"/>
              <w:bottom w:val="single" w:color="000000" w:sz="4" w:space="0"/>
              <w:right w:val="single" w:color="000000" w:sz="4" w:space="0"/>
            </w:tcBorders>
            <w:noWrap/>
            <w:vAlign w:val="center"/>
          </w:tcPr>
          <w:p w14:paraId="7ED1EB30">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1500</w:t>
            </w:r>
          </w:p>
        </w:tc>
        <w:tc>
          <w:tcPr>
            <w:tcW w:w="1316" w:type="dxa"/>
            <w:tcBorders>
              <w:top w:val="single" w:color="000000" w:sz="4" w:space="0"/>
              <w:left w:val="single" w:color="000000" w:sz="4" w:space="0"/>
              <w:bottom w:val="single" w:color="000000" w:sz="4" w:space="0"/>
              <w:right w:val="single" w:color="000000" w:sz="4" w:space="0"/>
            </w:tcBorders>
            <w:noWrap/>
            <w:vAlign w:val="center"/>
          </w:tcPr>
          <w:p w14:paraId="46F529C0">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四级</w:t>
            </w: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12E46EB9">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有树有灌木</w:t>
            </w:r>
          </w:p>
        </w:tc>
        <w:tc>
          <w:tcPr>
            <w:tcW w:w="999" w:type="dxa"/>
            <w:tcBorders>
              <w:top w:val="single" w:color="000000" w:sz="4" w:space="0"/>
              <w:left w:val="nil"/>
              <w:bottom w:val="single" w:color="000000" w:sz="4" w:space="0"/>
              <w:right w:val="single" w:color="000000" w:sz="4" w:space="0"/>
            </w:tcBorders>
            <w:noWrap/>
            <w:vAlign w:val="center"/>
          </w:tcPr>
          <w:p w14:paraId="3D0992A4">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66</w:t>
            </w:r>
          </w:p>
        </w:tc>
      </w:tr>
      <w:tr w14:paraId="36FB4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25" w:type="dxa"/>
            <w:tcBorders>
              <w:top w:val="single" w:color="000000" w:sz="4" w:space="0"/>
              <w:left w:val="single" w:color="000000" w:sz="4" w:space="0"/>
              <w:bottom w:val="single" w:color="000000" w:sz="4" w:space="0"/>
              <w:right w:val="single" w:color="000000" w:sz="4" w:space="0"/>
            </w:tcBorders>
            <w:noWrap/>
            <w:vAlign w:val="center"/>
          </w:tcPr>
          <w:p w14:paraId="4C7206E8">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二</w:t>
            </w:r>
          </w:p>
        </w:tc>
        <w:tc>
          <w:tcPr>
            <w:tcW w:w="1710" w:type="dxa"/>
            <w:tcBorders>
              <w:top w:val="single" w:color="000000" w:sz="4" w:space="0"/>
              <w:left w:val="single" w:color="000000" w:sz="4" w:space="0"/>
              <w:bottom w:val="single" w:color="000000" w:sz="4" w:space="0"/>
              <w:right w:val="single" w:color="000000" w:sz="4" w:space="0"/>
            </w:tcBorders>
            <w:noWrap/>
            <w:vAlign w:val="center"/>
          </w:tcPr>
          <w:p w14:paraId="76D32302">
            <w:pPr>
              <w:keepNext w:val="0"/>
              <w:keepLines w:val="0"/>
              <w:widowControl/>
              <w:suppressLineNumbers w:val="0"/>
              <w:jc w:val="center"/>
              <w:textAlignment w:val="center"/>
              <w:rPr>
                <w:rFonts w:hint="eastAsia" w:ascii="宋体" w:hAnsi="宋体" w:eastAsia="宋体" w:cs="宋体"/>
                <w:b/>
                <w:bCs/>
                <w:i w:val="0"/>
                <w:iCs w:val="0"/>
                <w:color w:val="FF0000"/>
                <w:kern w:val="2"/>
                <w:sz w:val="21"/>
                <w:szCs w:val="21"/>
                <w:highlight w:val="none"/>
                <w:u w:val="none"/>
              </w:rPr>
            </w:pPr>
            <w:r>
              <w:rPr>
                <w:rFonts w:hint="eastAsia" w:ascii="宋体" w:hAnsi="宋体" w:eastAsia="宋体" w:cs="宋体"/>
                <w:b/>
                <w:bCs/>
                <w:i w:val="0"/>
                <w:iCs w:val="0"/>
                <w:color w:val="FF0000"/>
                <w:kern w:val="0"/>
                <w:sz w:val="21"/>
                <w:szCs w:val="21"/>
                <w:highlight w:val="none"/>
                <w:u w:val="none"/>
                <w:lang w:val="en-US" w:eastAsia="zh-CN" w:bidi="ar"/>
              </w:rPr>
              <w:t>园区段</w:t>
            </w:r>
          </w:p>
        </w:tc>
        <w:tc>
          <w:tcPr>
            <w:tcW w:w="2233" w:type="dxa"/>
            <w:tcBorders>
              <w:top w:val="single" w:color="000000" w:sz="4" w:space="0"/>
              <w:left w:val="single" w:color="000000" w:sz="4" w:space="0"/>
              <w:bottom w:val="single" w:color="000000" w:sz="4" w:space="0"/>
              <w:right w:val="single" w:color="000000" w:sz="4" w:space="0"/>
            </w:tcBorders>
            <w:noWrap w:val="0"/>
            <w:vAlign w:val="center"/>
          </w:tcPr>
          <w:p w14:paraId="628948E4">
            <w:pPr>
              <w:jc w:val="center"/>
              <w:rPr>
                <w:rFonts w:hint="eastAsia" w:ascii="宋体" w:hAnsi="宋体" w:eastAsia="宋体" w:cs="宋体"/>
                <w:b/>
                <w:bCs/>
                <w:i w:val="0"/>
                <w:iCs w:val="0"/>
                <w:color w:val="FF0000"/>
                <w:kern w:val="2"/>
                <w:sz w:val="21"/>
                <w:szCs w:val="21"/>
                <w:highlight w:val="none"/>
                <w:u w:val="none"/>
              </w:rPr>
            </w:pPr>
          </w:p>
        </w:tc>
        <w:tc>
          <w:tcPr>
            <w:tcW w:w="1267" w:type="dxa"/>
            <w:tcBorders>
              <w:top w:val="single" w:color="000000" w:sz="4" w:space="0"/>
              <w:left w:val="single" w:color="000000" w:sz="4" w:space="0"/>
              <w:bottom w:val="single" w:color="000000" w:sz="4" w:space="0"/>
              <w:right w:val="single" w:color="000000" w:sz="4" w:space="0"/>
            </w:tcBorders>
            <w:noWrap/>
            <w:vAlign w:val="center"/>
          </w:tcPr>
          <w:p w14:paraId="40AC0A15">
            <w:pPr>
              <w:keepNext w:val="0"/>
              <w:keepLines w:val="0"/>
              <w:widowControl/>
              <w:suppressLineNumbers w:val="0"/>
              <w:jc w:val="center"/>
              <w:textAlignment w:val="center"/>
              <w:rPr>
                <w:rFonts w:hint="eastAsia" w:ascii="宋体" w:hAnsi="宋体" w:eastAsia="宋体" w:cs="宋体"/>
                <w:b/>
                <w:bCs/>
                <w:i w:val="0"/>
                <w:iCs w:val="0"/>
                <w:color w:val="FF0000"/>
                <w:kern w:val="2"/>
                <w:sz w:val="21"/>
                <w:szCs w:val="21"/>
                <w:highlight w:val="none"/>
                <w:u w:val="none"/>
              </w:rPr>
            </w:pPr>
            <w:r>
              <w:rPr>
                <w:rFonts w:hint="eastAsia" w:ascii="宋体" w:hAnsi="宋体" w:eastAsia="宋体" w:cs="宋体"/>
                <w:b/>
                <w:bCs/>
                <w:i w:val="0"/>
                <w:iCs w:val="0"/>
                <w:color w:val="FF0000"/>
                <w:kern w:val="0"/>
                <w:sz w:val="21"/>
                <w:szCs w:val="21"/>
                <w:highlight w:val="none"/>
                <w:u w:val="none"/>
                <w:lang w:val="en-US" w:eastAsia="zh-CN" w:bidi="ar"/>
              </w:rPr>
              <w:t>94100</w:t>
            </w:r>
          </w:p>
        </w:tc>
        <w:tc>
          <w:tcPr>
            <w:tcW w:w="1316" w:type="dxa"/>
            <w:tcBorders>
              <w:top w:val="single" w:color="000000" w:sz="4" w:space="0"/>
              <w:left w:val="single" w:color="000000" w:sz="4" w:space="0"/>
              <w:bottom w:val="single" w:color="000000" w:sz="4" w:space="0"/>
              <w:right w:val="single" w:color="000000" w:sz="4" w:space="0"/>
            </w:tcBorders>
            <w:noWrap/>
            <w:vAlign w:val="center"/>
          </w:tcPr>
          <w:p w14:paraId="5D4CAA6C">
            <w:pPr>
              <w:jc w:val="center"/>
              <w:rPr>
                <w:rFonts w:hint="eastAsia" w:ascii="宋体" w:hAnsi="宋体" w:eastAsia="宋体" w:cs="宋体"/>
                <w:b/>
                <w:bCs/>
                <w:i w:val="0"/>
                <w:iCs w:val="0"/>
                <w:color w:val="000000"/>
                <w:kern w:val="2"/>
                <w:sz w:val="21"/>
                <w:szCs w:val="21"/>
                <w:highlight w:val="none"/>
                <w:u w:val="none"/>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5F31C452">
            <w:pPr>
              <w:jc w:val="center"/>
              <w:rPr>
                <w:rFonts w:hint="eastAsia" w:ascii="宋体" w:hAnsi="宋体" w:eastAsia="宋体" w:cs="宋体"/>
                <w:i w:val="0"/>
                <w:iCs w:val="0"/>
                <w:color w:val="000000"/>
                <w:kern w:val="2"/>
                <w:sz w:val="21"/>
                <w:szCs w:val="21"/>
                <w:highlight w:val="none"/>
                <w:u w:val="none"/>
              </w:rPr>
            </w:pPr>
          </w:p>
        </w:tc>
        <w:tc>
          <w:tcPr>
            <w:tcW w:w="999" w:type="dxa"/>
            <w:tcBorders>
              <w:top w:val="single" w:color="000000" w:sz="4" w:space="0"/>
              <w:left w:val="nil"/>
              <w:bottom w:val="single" w:color="000000" w:sz="4" w:space="0"/>
              <w:right w:val="single" w:color="000000" w:sz="4" w:space="0"/>
            </w:tcBorders>
            <w:noWrap/>
            <w:vAlign w:val="center"/>
          </w:tcPr>
          <w:p w14:paraId="1A7C71B6">
            <w:pPr>
              <w:jc w:val="center"/>
              <w:rPr>
                <w:rFonts w:hint="eastAsia" w:ascii="宋体" w:hAnsi="宋体" w:eastAsia="宋体" w:cs="宋体"/>
                <w:i w:val="0"/>
                <w:iCs w:val="0"/>
                <w:color w:val="000000"/>
                <w:kern w:val="2"/>
                <w:sz w:val="21"/>
                <w:szCs w:val="21"/>
                <w:highlight w:val="none"/>
                <w:u w:val="none"/>
              </w:rPr>
            </w:pPr>
          </w:p>
        </w:tc>
      </w:tr>
      <w:tr w14:paraId="54ACE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25" w:type="dxa"/>
            <w:tcBorders>
              <w:top w:val="single" w:color="000000" w:sz="4" w:space="0"/>
              <w:left w:val="single" w:color="000000" w:sz="4" w:space="0"/>
              <w:bottom w:val="single" w:color="000000" w:sz="4" w:space="0"/>
              <w:right w:val="single" w:color="000000" w:sz="4" w:space="0"/>
            </w:tcBorders>
            <w:noWrap/>
            <w:vAlign w:val="center"/>
          </w:tcPr>
          <w:p w14:paraId="28851F65">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710" w:type="dxa"/>
            <w:tcBorders>
              <w:top w:val="single" w:color="000000" w:sz="4" w:space="0"/>
              <w:left w:val="single" w:color="000000" w:sz="4" w:space="0"/>
              <w:bottom w:val="single" w:color="000000" w:sz="4" w:space="0"/>
              <w:right w:val="single" w:color="000000" w:sz="4" w:space="0"/>
            </w:tcBorders>
            <w:noWrap/>
            <w:vAlign w:val="center"/>
          </w:tcPr>
          <w:p w14:paraId="03495B8A">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五联路</w:t>
            </w:r>
          </w:p>
        </w:tc>
        <w:tc>
          <w:tcPr>
            <w:tcW w:w="2233" w:type="dxa"/>
            <w:tcBorders>
              <w:top w:val="single" w:color="000000" w:sz="4" w:space="0"/>
              <w:left w:val="single" w:color="000000" w:sz="4" w:space="0"/>
              <w:bottom w:val="single" w:color="000000" w:sz="4" w:space="0"/>
              <w:right w:val="single" w:color="000000" w:sz="4" w:space="0"/>
            </w:tcBorders>
            <w:noWrap w:val="0"/>
            <w:vAlign w:val="center"/>
          </w:tcPr>
          <w:p w14:paraId="14F026AF">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两侧</w:t>
            </w:r>
          </w:p>
        </w:tc>
        <w:tc>
          <w:tcPr>
            <w:tcW w:w="1267" w:type="dxa"/>
            <w:tcBorders>
              <w:top w:val="single" w:color="000000" w:sz="4" w:space="0"/>
              <w:left w:val="single" w:color="000000" w:sz="4" w:space="0"/>
              <w:bottom w:val="single" w:color="000000" w:sz="4" w:space="0"/>
              <w:right w:val="single" w:color="000000" w:sz="4" w:space="0"/>
            </w:tcBorders>
            <w:noWrap/>
            <w:vAlign w:val="center"/>
          </w:tcPr>
          <w:p w14:paraId="59EB1CC8">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9600</w:t>
            </w:r>
          </w:p>
        </w:tc>
        <w:tc>
          <w:tcPr>
            <w:tcW w:w="1316" w:type="dxa"/>
            <w:tcBorders>
              <w:top w:val="single" w:color="000000" w:sz="4" w:space="0"/>
              <w:left w:val="single" w:color="000000" w:sz="4" w:space="0"/>
              <w:bottom w:val="single" w:color="000000" w:sz="4" w:space="0"/>
              <w:right w:val="single" w:color="000000" w:sz="4" w:space="0"/>
            </w:tcBorders>
            <w:noWrap/>
            <w:vAlign w:val="center"/>
          </w:tcPr>
          <w:p w14:paraId="6705AD0C">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四级</w:t>
            </w: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6AAFE3FB">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有树有灌木</w:t>
            </w:r>
          </w:p>
        </w:tc>
        <w:tc>
          <w:tcPr>
            <w:tcW w:w="999" w:type="dxa"/>
            <w:tcBorders>
              <w:top w:val="single" w:color="000000" w:sz="4" w:space="0"/>
              <w:left w:val="nil"/>
              <w:bottom w:val="single" w:color="000000" w:sz="4" w:space="0"/>
              <w:right w:val="single" w:color="000000" w:sz="4" w:space="0"/>
            </w:tcBorders>
            <w:noWrap/>
            <w:vAlign w:val="center"/>
          </w:tcPr>
          <w:p w14:paraId="635A8DE7">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417</w:t>
            </w:r>
          </w:p>
        </w:tc>
      </w:tr>
      <w:tr w14:paraId="26EAE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25" w:type="dxa"/>
            <w:tcBorders>
              <w:top w:val="single" w:color="000000" w:sz="4" w:space="0"/>
              <w:left w:val="single" w:color="000000" w:sz="4" w:space="0"/>
              <w:bottom w:val="single" w:color="000000" w:sz="4" w:space="0"/>
              <w:right w:val="single" w:color="000000" w:sz="4" w:space="0"/>
            </w:tcBorders>
            <w:noWrap/>
            <w:vAlign w:val="center"/>
          </w:tcPr>
          <w:p w14:paraId="3101F881">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1710" w:type="dxa"/>
            <w:tcBorders>
              <w:top w:val="single" w:color="000000" w:sz="4" w:space="0"/>
              <w:left w:val="single" w:color="000000" w:sz="4" w:space="0"/>
              <w:bottom w:val="single" w:color="000000" w:sz="4" w:space="0"/>
              <w:right w:val="single" w:color="000000" w:sz="4" w:space="0"/>
            </w:tcBorders>
            <w:noWrap/>
            <w:vAlign w:val="center"/>
          </w:tcPr>
          <w:p w14:paraId="199ABBA7">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菜园路</w:t>
            </w:r>
          </w:p>
        </w:tc>
        <w:tc>
          <w:tcPr>
            <w:tcW w:w="2233" w:type="dxa"/>
            <w:tcBorders>
              <w:top w:val="single" w:color="000000" w:sz="4" w:space="0"/>
              <w:left w:val="single" w:color="000000" w:sz="4" w:space="0"/>
              <w:bottom w:val="single" w:color="000000" w:sz="4" w:space="0"/>
              <w:right w:val="single" w:color="000000" w:sz="4" w:space="0"/>
            </w:tcBorders>
            <w:noWrap w:val="0"/>
            <w:vAlign w:val="center"/>
          </w:tcPr>
          <w:p w14:paraId="6F4E6F3E">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两侧</w:t>
            </w:r>
          </w:p>
        </w:tc>
        <w:tc>
          <w:tcPr>
            <w:tcW w:w="1267" w:type="dxa"/>
            <w:tcBorders>
              <w:top w:val="single" w:color="000000" w:sz="4" w:space="0"/>
              <w:left w:val="single" w:color="000000" w:sz="4" w:space="0"/>
              <w:bottom w:val="single" w:color="000000" w:sz="4" w:space="0"/>
              <w:right w:val="single" w:color="000000" w:sz="4" w:space="0"/>
            </w:tcBorders>
            <w:noWrap/>
            <w:vAlign w:val="center"/>
          </w:tcPr>
          <w:p w14:paraId="02F52DA6">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7200</w:t>
            </w:r>
          </w:p>
        </w:tc>
        <w:tc>
          <w:tcPr>
            <w:tcW w:w="1316" w:type="dxa"/>
            <w:tcBorders>
              <w:top w:val="single" w:color="000000" w:sz="4" w:space="0"/>
              <w:left w:val="single" w:color="000000" w:sz="4" w:space="0"/>
              <w:bottom w:val="single" w:color="000000" w:sz="4" w:space="0"/>
              <w:right w:val="single" w:color="000000" w:sz="4" w:space="0"/>
            </w:tcBorders>
            <w:noWrap/>
            <w:vAlign w:val="center"/>
          </w:tcPr>
          <w:p w14:paraId="688BEBE3">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四级</w:t>
            </w: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361D461B">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有树有灌木</w:t>
            </w:r>
          </w:p>
        </w:tc>
        <w:tc>
          <w:tcPr>
            <w:tcW w:w="999" w:type="dxa"/>
            <w:tcBorders>
              <w:top w:val="single" w:color="000000" w:sz="4" w:space="0"/>
              <w:left w:val="nil"/>
              <w:bottom w:val="single" w:color="000000" w:sz="4" w:space="0"/>
              <w:right w:val="single" w:color="000000" w:sz="4" w:space="0"/>
            </w:tcBorders>
            <w:noWrap/>
            <w:vAlign w:val="center"/>
          </w:tcPr>
          <w:p w14:paraId="751B8975">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313</w:t>
            </w:r>
          </w:p>
        </w:tc>
      </w:tr>
      <w:tr w14:paraId="2E57E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25" w:type="dxa"/>
            <w:tcBorders>
              <w:top w:val="single" w:color="000000" w:sz="4" w:space="0"/>
              <w:left w:val="single" w:color="000000" w:sz="4" w:space="0"/>
              <w:bottom w:val="single" w:color="000000" w:sz="4" w:space="0"/>
              <w:right w:val="single" w:color="000000" w:sz="4" w:space="0"/>
            </w:tcBorders>
            <w:noWrap/>
            <w:vAlign w:val="center"/>
          </w:tcPr>
          <w:p w14:paraId="22490AD5">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1710" w:type="dxa"/>
            <w:tcBorders>
              <w:top w:val="single" w:color="000000" w:sz="4" w:space="0"/>
              <w:left w:val="single" w:color="000000" w:sz="4" w:space="0"/>
              <w:bottom w:val="single" w:color="000000" w:sz="4" w:space="0"/>
              <w:right w:val="single" w:color="000000" w:sz="4" w:space="0"/>
            </w:tcBorders>
            <w:noWrap/>
            <w:vAlign w:val="center"/>
          </w:tcPr>
          <w:p w14:paraId="3FB6CA2F">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创业路</w:t>
            </w:r>
          </w:p>
        </w:tc>
        <w:tc>
          <w:tcPr>
            <w:tcW w:w="2233" w:type="dxa"/>
            <w:tcBorders>
              <w:top w:val="single" w:color="000000" w:sz="4" w:space="0"/>
              <w:left w:val="single" w:color="000000" w:sz="4" w:space="0"/>
              <w:bottom w:val="single" w:color="000000" w:sz="4" w:space="0"/>
              <w:right w:val="single" w:color="000000" w:sz="4" w:space="0"/>
            </w:tcBorders>
            <w:noWrap w:val="0"/>
            <w:vAlign w:val="center"/>
          </w:tcPr>
          <w:p w14:paraId="21B32F1D">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两侧</w:t>
            </w:r>
          </w:p>
        </w:tc>
        <w:tc>
          <w:tcPr>
            <w:tcW w:w="1267" w:type="dxa"/>
            <w:tcBorders>
              <w:top w:val="single" w:color="000000" w:sz="4" w:space="0"/>
              <w:left w:val="single" w:color="000000" w:sz="4" w:space="0"/>
              <w:bottom w:val="single" w:color="000000" w:sz="4" w:space="0"/>
              <w:right w:val="single" w:color="000000" w:sz="4" w:space="0"/>
            </w:tcBorders>
            <w:noWrap/>
            <w:vAlign w:val="center"/>
          </w:tcPr>
          <w:p w14:paraId="6F53CC96">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12000</w:t>
            </w:r>
          </w:p>
        </w:tc>
        <w:tc>
          <w:tcPr>
            <w:tcW w:w="1316" w:type="dxa"/>
            <w:tcBorders>
              <w:top w:val="single" w:color="000000" w:sz="4" w:space="0"/>
              <w:left w:val="single" w:color="000000" w:sz="4" w:space="0"/>
              <w:bottom w:val="single" w:color="000000" w:sz="4" w:space="0"/>
              <w:right w:val="single" w:color="000000" w:sz="4" w:space="0"/>
            </w:tcBorders>
            <w:noWrap/>
            <w:vAlign w:val="center"/>
          </w:tcPr>
          <w:p w14:paraId="4BA40F71">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四级</w:t>
            </w: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41A4BC3A">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有树有灌木</w:t>
            </w:r>
          </w:p>
        </w:tc>
        <w:tc>
          <w:tcPr>
            <w:tcW w:w="999" w:type="dxa"/>
            <w:tcBorders>
              <w:top w:val="single" w:color="000000" w:sz="4" w:space="0"/>
              <w:left w:val="nil"/>
              <w:bottom w:val="single" w:color="000000" w:sz="4" w:space="0"/>
              <w:right w:val="single" w:color="000000" w:sz="4" w:space="0"/>
            </w:tcBorders>
            <w:noWrap/>
            <w:vAlign w:val="center"/>
          </w:tcPr>
          <w:p w14:paraId="131A8D56">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521</w:t>
            </w:r>
          </w:p>
        </w:tc>
      </w:tr>
      <w:tr w14:paraId="75E84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25" w:type="dxa"/>
            <w:tcBorders>
              <w:top w:val="single" w:color="000000" w:sz="4" w:space="0"/>
              <w:left w:val="single" w:color="000000" w:sz="4" w:space="0"/>
              <w:bottom w:val="single" w:color="000000" w:sz="4" w:space="0"/>
              <w:right w:val="single" w:color="000000" w:sz="4" w:space="0"/>
            </w:tcBorders>
            <w:noWrap/>
            <w:vAlign w:val="center"/>
          </w:tcPr>
          <w:p w14:paraId="78E4DC94">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1710" w:type="dxa"/>
            <w:tcBorders>
              <w:top w:val="single" w:color="000000" w:sz="4" w:space="0"/>
              <w:left w:val="single" w:color="000000" w:sz="4" w:space="0"/>
              <w:bottom w:val="single" w:color="000000" w:sz="4" w:space="0"/>
              <w:right w:val="single" w:color="000000" w:sz="4" w:space="0"/>
            </w:tcBorders>
            <w:noWrap/>
            <w:vAlign w:val="center"/>
          </w:tcPr>
          <w:p w14:paraId="433AEE7F">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鹏程路</w:t>
            </w:r>
          </w:p>
        </w:tc>
        <w:tc>
          <w:tcPr>
            <w:tcW w:w="2233" w:type="dxa"/>
            <w:tcBorders>
              <w:top w:val="single" w:color="000000" w:sz="4" w:space="0"/>
              <w:left w:val="single" w:color="000000" w:sz="4" w:space="0"/>
              <w:bottom w:val="single" w:color="000000" w:sz="4" w:space="0"/>
              <w:right w:val="single" w:color="000000" w:sz="4" w:space="0"/>
            </w:tcBorders>
            <w:noWrap w:val="0"/>
            <w:vAlign w:val="center"/>
          </w:tcPr>
          <w:p w14:paraId="40FA29FD">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两侧</w:t>
            </w:r>
          </w:p>
        </w:tc>
        <w:tc>
          <w:tcPr>
            <w:tcW w:w="1267" w:type="dxa"/>
            <w:tcBorders>
              <w:top w:val="single" w:color="000000" w:sz="4" w:space="0"/>
              <w:left w:val="single" w:color="000000" w:sz="4" w:space="0"/>
              <w:bottom w:val="single" w:color="000000" w:sz="4" w:space="0"/>
              <w:right w:val="single" w:color="000000" w:sz="4" w:space="0"/>
            </w:tcBorders>
            <w:noWrap/>
            <w:vAlign w:val="center"/>
          </w:tcPr>
          <w:p w14:paraId="306BEF21">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13000</w:t>
            </w:r>
          </w:p>
        </w:tc>
        <w:tc>
          <w:tcPr>
            <w:tcW w:w="1316" w:type="dxa"/>
            <w:tcBorders>
              <w:top w:val="single" w:color="000000" w:sz="4" w:space="0"/>
              <w:left w:val="single" w:color="000000" w:sz="4" w:space="0"/>
              <w:bottom w:val="single" w:color="000000" w:sz="4" w:space="0"/>
              <w:right w:val="single" w:color="000000" w:sz="4" w:space="0"/>
            </w:tcBorders>
            <w:noWrap/>
            <w:vAlign w:val="center"/>
          </w:tcPr>
          <w:p w14:paraId="0A13845C">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四级</w:t>
            </w: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1C433E51">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有树有灌木</w:t>
            </w:r>
          </w:p>
        </w:tc>
        <w:tc>
          <w:tcPr>
            <w:tcW w:w="999" w:type="dxa"/>
            <w:tcBorders>
              <w:top w:val="single" w:color="000000" w:sz="4" w:space="0"/>
              <w:left w:val="nil"/>
              <w:bottom w:val="single" w:color="000000" w:sz="4" w:space="0"/>
              <w:right w:val="single" w:color="000000" w:sz="4" w:space="0"/>
            </w:tcBorders>
            <w:noWrap/>
            <w:vAlign w:val="center"/>
          </w:tcPr>
          <w:p w14:paraId="047C8769">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565</w:t>
            </w:r>
          </w:p>
        </w:tc>
      </w:tr>
      <w:tr w14:paraId="6026B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25" w:type="dxa"/>
            <w:tcBorders>
              <w:top w:val="single" w:color="000000" w:sz="4" w:space="0"/>
              <w:left w:val="single" w:color="000000" w:sz="4" w:space="0"/>
              <w:bottom w:val="single" w:color="000000" w:sz="4" w:space="0"/>
              <w:right w:val="single" w:color="000000" w:sz="4" w:space="0"/>
            </w:tcBorders>
            <w:noWrap/>
            <w:vAlign w:val="center"/>
          </w:tcPr>
          <w:p w14:paraId="186223AA">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1710" w:type="dxa"/>
            <w:tcBorders>
              <w:top w:val="single" w:color="000000" w:sz="4" w:space="0"/>
              <w:left w:val="single" w:color="000000" w:sz="4" w:space="0"/>
              <w:bottom w:val="single" w:color="000000" w:sz="4" w:space="0"/>
              <w:right w:val="single" w:color="000000" w:sz="4" w:space="0"/>
            </w:tcBorders>
            <w:noWrap/>
            <w:vAlign w:val="center"/>
          </w:tcPr>
          <w:p w14:paraId="12FE9F7C">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永顺路</w:t>
            </w:r>
          </w:p>
        </w:tc>
        <w:tc>
          <w:tcPr>
            <w:tcW w:w="2233" w:type="dxa"/>
            <w:tcBorders>
              <w:top w:val="single" w:color="000000" w:sz="4" w:space="0"/>
              <w:left w:val="single" w:color="000000" w:sz="4" w:space="0"/>
              <w:bottom w:val="single" w:color="000000" w:sz="4" w:space="0"/>
              <w:right w:val="single" w:color="000000" w:sz="4" w:space="0"/>
            </w:tcBorders>
            <w:noWrap w:val="0"/>
            <w:vAlign w:val="center"/>
          </w:tcPr>
          <w:p w14:paraId="73550F7B">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两侧</w:t>
            </w:r>
          </w:p>
        </w:tc>
        <w:tc>
          <w:tcPr>
            <w:tcW w:w="1267" w:type="dxa"/>
            <w:tcBorders>
              <w:top w:val="single" w:color="000000" w:sz="4" w:space="0"/>
              <w:left w:val="single" w:color="000000" w:sz="4" w:space="0"/>
              <w:bottom w:val="single" w:color="000000" w:sz="4" w:space="0"/>
              <w:right w:val="single" w:color="000000" w:sz="4" w:space="0"/>
            </w:tcBorders>
            <w:noWrap/>
            <w:vAlign w:val="center"/>
          </w:tcPr>
          <w:p w14:paraId="4226925B">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9600</w:t>
            </w:r>
          </w:p>
        </w:tc>
        <w:tc>
          <w:tcPr>
            <w:tcW w:w="1316" w:type="dxa"/>
            <w:tcBorders>
              <w:top w:val="single" w:color="000000" w:sz="4" w:space="0"/>
              <w:left w:val="single" w:color="000000" w:sz="4" w:space="0"/>
              <w:bottom w:val="single" w:color="000000" w:sz="4" w:space="0"/>
              <w:right w:val="single" w:color="000000" w:sz="4" w:space="0"/>
            </w:tcBorders>
            <w:noWrap/>
            <w:vAlign w:val="center"/>
          </w:tcPr>
          <w:p w14:paraId="0A93DD80">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四级</w:t>
            </w: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63D3D1F1">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有树有灌木</w:t>
            </w:r>
          </w:p>
        </w:tc>
        <w:tc>
          <w:tcPr>
            <w:tcW w:w="999" w:type="dxa"/>
            <w:tcBorders>
              <w:top w:val="single" w:color="000000" w:sz="4" w:space="0"/>
              <w:left w:val="nil"/>
              <w:bottom w:val="single" w:color="000000" w:sz="4" w:space="0"/>
              <w:right w:val="single" w:color="000000" w:sz="4" w:space="0"/>
            </w:tcBorders>
            <w:noWrap/>
            <w:vAlign w:val="center"/>
          </w:tcPr>
          <w:p w14:paraId="5AA77289">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417</w:t>
            </w:r>
          </w:p>
        </w:tc>
      </w:tr>
      <w:tr w14:paraId="537DE9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25" w:type="dxa"/>
            <w:tcBorders>
              <w:top w:val="single" w:color="000000" w:sz="4" w:space="0"/>
              <w:left w:val="single" w:color="000000" w:sz="4" w:space="0"/>
              <w:bottom w:val="single" w:color="000000" w:sz="4" w:space="0"/>
              <w:right w:val="single" w:color="000000" w:sz="4" w:space="0"/>
            </w:tcBorders>
            <w:noWrap/>
            <w:vAlign w:val="center"/>
          </w:tcPr>
          <w:p w14:paraId="530FA6F4">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1710" w:type="dxa"/>
            <w:tcBorders>
              <w:top w:val="single" w:color="000000" w:sz="4" w:space="0"/>
              <w:left w:val="single" w:color="000000" w:sz="4" w:space="0"/>
              <w:bottom w:val="single" w:color="000000" w:sz="4" w:space="0"/>
              <w:right w:val="single" w:color="000000" w:sz="4" w:space="0"/>
            </w:tcBorders>
            <w:noWrap/>
            <w:vAlign w:val="center"/>
          </w:tcPr>
          <w:p w14:paraId="0103A4F8">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永兴路</w:t>
            </w:r>
          </w:p>
        </w:tc>
        <w:tc>
          <w:tcPr>
            <w:tcW w:w="2233" w:type="dxa"/>
            <w:tcBorders>
              <w:top w:val="single" w:color="000000" w:sz="4" w:space="0"/>
              <w:left w:val="single" w:color="000000" w:sz="4" w:space="0"/>
              <w:bottom w:val="single" w:color="000000" w:sz="4" w:space="0"/>
              <w:right w:val="single" w:color="000000" w:sz="4" w:space="0"/>
            </w:tcBorders>
            <w:noWrap w:val="0"/>
            <w:vAlign w:val="center"/>
          </w:tcPr>
          <w:p w14:paraId="7B391862">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两侧</w:t>
            </w:r>
          </w:p>
        </w:tc>
        <w:tc>
          <w:tcPr>
            <w:tcW w:w="1267" w:type="dxa"/>
            <w:tcBorders>
              <w:top w:val="single" w:color="000000" w:sz="4" w:space="0"/>
              <w:left w:val="single" w:color="000000" w:sz="4" w:space="0"/>
              <w:bottom w:val="single" w:color="000000" w:sz="4" w:space="0"/>
              <w:right w:val="single" w:color="000000" w:sz="4" w:space="0"/>
            </w:tcBorders>
            <w:noWrap/>
            <w:vAlign w:val="center"/>
          </w:tcPr>
          <w:p w14:paraId="4A525DDD">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12000</w:t>
            </w:r>
          </w:p>
        </w:tc>
        <w:tc>
          <w:tcPr>
            <w:tcW w:w="1316" w:type="dxa"/>
            <w:tcBorders>
              <w:top w:val="single" w:color="000000" w:sz="4" w:space="0"/>
              <w:left w:val="single" w:color="000000" w:sz="4" w:space="0"/>
              <w:bottom w:val="single" w:color="000000" w:sz="4" w:space="0"/>
              <w:right w:val="single" w:color="000000" w:sz="4" w:space="0"/>
            </w:tcBorders>
            <w:noWrap/>
            <w:vAlign w:val="center"/>
          </w:tcPr>
          <w:p w14:paraId="4A950631">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四级</w:t>
            </w: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75978DC6">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有树有灌木</w:t>
            </w:r>
          </w:p>
        </w:tc>
        <w:tc>
          <w:tcPr>
            <w:tcW w:w="999" w:type="dxa"/>
            <w:tcBorders>
              <w:top w:val="single" w:color="000000" w:sz="4" w:space="0"/>
              <w:left w:val="nil"/>
              <w:bottom w:val="single" w:color="000000" w:sz="4" w:space="0"/>
              <w:right w:val="single" w:color="000000" w:sz="4" w:space="0"/>
            </w:tcBorders>
            <w:noWrap/>
            <w:vAlign w:val="center"/>
          </w:tcPr>
          <w:p w14:paraId="3C6278D8">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521</w:t>
            </w:r>
          </w:p>
        </w:tc>
      </w:tr>
      <w:tr w14:paraId="732A6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25" w:type="dxa"/>
            <w:tcBorders>
              <w:top w:val="single" w:color="000000" w:sz="4" w:space="0"/>
              <w:left w:val="single" w:color="000000" w:sz="4" w:space="0"/>
              <w:bottom w:val="single" w:color="000000" w:sz="4" w:space="0"/>
              <w:right w:val="single" w:color="000000" w:sz="4" w:space="0"/>
            </w:tcBorders>
            <w:noWrap/>
            <w:vAlign w:val="center"/>
          </w:tcPr>
          <w:p w14:paraId="5AFAE6C7">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w:t>
            </w:r>
          </w:p>
        </w:tc>
        <w:tc>
          <w:tcPr>
            <w:tcW w:w="1710" w:type="dxa"/>
            <w:tcBorders>
              <w:top w:val="single" w:color="000000" w:sz="4" w:space="0"/>
              <w:left w:val="single" w:color="000000" w:sz="4" w:space="0"/>
              <w:bottom w:val="single" w:color="000000" w:sz="4" w:space="0"/>
              <w:right w:val="single" w:color="000000" w:sz="4" w:space="0"/>
            </w:tcBorders>
            <w:noWrap/>
            <w:vAlign w:val="center"/>
          </w:tcPr>
          <w:p w14:paraId="20FEA382">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绿地公园</w:t>
            </w:r>
          </w:p>
        </w:tc>
        <w:tc>
          <w:tcPr>
            <w:tcW w:w="2233" w:type="dxa"/>
            <w:tcBorders>
              <w:top w:val="single" w:color="000000" w:sz="4" w:space="0"/>
              <w:left w:val="single" w:color="000000" w:sz="4" w:space="0"/>
              <w:bottom w:val="single" w:color="000000" w:sz="4" w:space="0"/>
              <w:right w:val="single" w:color="000000" w:sz="4" w:space="0"/>
            </w:tcBorders>
            <w:noWrap w:val="0"/>
            <w:vAlign w:val="center"/>
          </w:tcPr>
          <w:p w14:paraId="5757D63E">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一处</w:t>
            </w:r>
          </w:p>
        </w:tc>
        <w:tc>
          <w:tcPr>
            <w:tcW w:w="1267" w:type="dxa"/>
            <w:tcBorders>
              <w:top w:val="single" w:color="000000" w:sz="4" w:space="0"/>
              <w:left w:val="single" w:color="000000" w:sz="4" w:space="0"/>
              <w:bottom w:val="single" w:color="000000" w:sz="4" w:space="0"/>
              <w:right w:val="single" w:color="000000" w:sz="4" w:space="0"/>
            </w:tcBorders>
            <w:noWrap/>
            <w:vAlign w:val="center"/>
          </w:tcPr>
          <w:p w14:paraId="1B651FD7">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8000</w:t>
            </w:r>
          </w:p>
        </w:tc>
        <w:tc>
          <w:tcPr>
            <w:tcW w:w="1316" w:type="dxa"/>
            <w:tcBorders>
              <w:top w:val="single" w:color="000000" w:sz="4" w:space="0"/>
              <w:left w:val="single" w:color="000000" w:sz="4" w:space="0"/>
              <w:bottom w:val="single" w:color="000000" w:sz="4" w:space="0"/>
              <w:right w:val="single" w:color="000000" w:sz="4" w:space="0"/>
            </w:tcBorders>
            <w:noWrap/>
            <w:vAlign w:val="center"/>
          </w:tcPr>
          <w:p w14:paraId="30C08E10">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四级</w:t>
            </w: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35A5D0CB">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有树有灌木</w:t>
            </w:r>
          </w:p>
        </w:tc>
        <w:tc>
          <w:tcPr>
            <w:tcW w:w="999" w:type="dxa"/>
            <w:tcBorders>
              <w:top w:val="single" w:color="000000" w:sz="4" w:space="0"/>
              <w:left w:val="nil"/>
              <w:bottom w:val="single" w:color="000000" w:sz="4" w:space="0"/>
              <w:right w:val="single" w:color="000000" w:sz="4" w:space="0"/>
            </w:tcBorders>
            <w:noWrap/>
            <w:vAlign w:val="center"/>
          </w:tcPr>
          <w:p w14:paraId="7F42B70F">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340</w:t>
            </w:r>
          </w:p>
        </w:tc>
      </w:tr>
      <w:tr w14:paraId="10459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25" w:type="dxa"/>
            <w:tcBorders>
              <w:top w:val="single" w:color="000000" w:sz="4" w:space="0"/>
              <w:left w:val="single" w:color="000000" w:sz="4" w:space="0"/>
              <w:bottom w:val="single" w:color="000000" w:sz="4" w:space="0"/>
              <w:right w:val="single" w:color="000000" w:sz="4" w:space="0"/>
            </w:tcBorders>
            <w:noWrap/>
            <w:vAlign w:val="center"/>
          </w:tcPr>
          <w:p w14:paraId="0625B401">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w:t>
            </w:r>
          </w:p>
        </w:tc>
        <w:tc>
          <w:tcPr>
            <w:tcW w:w="1710" w:type="dxa"/>
            <w:tcBorders>
              <w:top w:val="single" w:color="000000" w:sz="4" w:space="0"/>
              <w:left w:val="single" w:color="000000" w:sz="4" w:space="0"/>
              <w:bottom w:val="single" w:color="000000" w:sz="4" w:space="0"/>
              <w:right w:val="single" w:color="000000" w:sz="4" w:space="0"/>
            </w:tcBorders>
            <w:noWrap/>
            <w:vAlign w:val="center"/>
          </w:tcPr>
          <w:p w14:paraId="23CB199A">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现代产业园</w:t>
            </w:r>
          </w:p>
        </w:tc>
        <w:tc>
          <w:tcPr>
            <w:tcW w:w="2233" w:type="dxa"/>
            <w:tcBorders>
              <w:top w:val="single" w:color="000000" w:sz="4" w:space="0"/>
              <w:left w:val="single" w:color="000000" w:sz="4" w:space="0"/>
              <w:bottom w:val="single" w:color="000000" w:sz="4" w:space="0"/>
              <w:right w:val="single" w:color="000000" w:sz="4" w:space="0"/>
            </w:tcBorders>
            <w:noWrap w:val="0"/>
            <w:vAlign w:val="center"/>
          </w:tcPr>
          <w:p w14:paraId="352509CD">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一处</w:t>
            </w:r>
          </w:p>
        </w:tc>
        <w:tc>
          <w:tcPr>
            <w:tcW w:w="1267" w:type="dxa"/>
            <w:tcBorders>
              <w:top w:val="single" w:color="000000" w:sz="4" w:space="0"/>
              <w:left w:val="single" w:color="000000" w:sz="4" w:space="0"/>
              <w:bottom w:val="single" w:color="000000" w:sz="4" w:space="0"/>
              <w:right w:val="single" w:color="000000" w:sz="4" w:space="0"/>
            </w:tcBorders>
            <w:noWrap/>
            <w:vAlign w:val="center"/>
          </w:tcPr>
          <w:p w14:paraId="0C3483A0">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8000</w:t>
            </w:r>
          </w:p>
        </w:tc>
        <w:tc>
          <w:tcPr>
            <w:tcW w:w="1316" w:type="dxa"/>
            <w:tcBorders>
              <w:top w:val="single" w:color="000000" w:sz="4" w:space="0"/>
              <w:left w:val="single" w:color="000000" w:sz="4" w:space="0"/>
              <w:bottom w:val="single" w:color="000000" w:sz="4" w:space="0"/>
              <w:right w:val="single" w:color="000000" w:sz="4" w:space="0"/>
            </w:tcBorders>
            <w:noWrap/>
            <w:vAlign w:val="center"/>
          </w:tcPr>
          <w:p w14:paraId="039CE9F4">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四级</w:t>
            </w: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5E62C767">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有树有灌木</w:t>
            </w:r>
          </w:p>
        </w:tc>
        <w:tc>
          <w:tcPr>
            <w:tcW w:w="999" w:type="dxa"/>
            <w:tcBorders>
              <w:top w:val="single" w:color="000000" w:sz="4" w:space="0"/>
              <w:left w:val="nil"/>
              <w:bottom w:val="single" w:color="000000" w:sz="4" w:space="0"/>
              <w:right w:val="single" w:color="000000" w:sz="4" w:space="0"/>
            </w:tcBorders>
            <w:noWrap/>
            <w:vAlign w:val="center"/>
          </w:tcPr>
          <w:p w14:paraId="36ADD097">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347</w:t>
            </w:r>
          </w:p>
        </w:tc>
      </w:tr>
      <w:tr w14:paraId="16BA3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25" w:type="dxa"/>
            <w:tcBorders>
              <w:top w:val="single" w:color="000000" w:sz="4" w:space="0"/>
              <w:left w:val="single" w:color="000000" w:sz="4" w:space="0"/>
              <w:bottom w:val="single" w:color="000000" w:sz="4" w:space="0"/>
              <w:right w:val="single" w:color="000000" w:sz="4" w:space="0"/>
            </w:tcBorders>
            <w:noWrap/>
            <w:vAlign w:val="center"/>
          </w:tcPr>
          <w:p w14:paraId="17ED740B">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w:t>
            </w:r>
          </w:p>
        </w:tc>
        <w:tc>
          <w:tcPr>
            <w:tcW w:w="1710" w:type="dxa"/>
            <w:tcBorders>
              <w:top w:val="single" w:color="000000" w:sz="4" w:space="0"/>
              <w:left w:val="single" w:color="000000" w:sz="4" w:space="0"/>
              <w:bottom w:val="single" w:color="000000" w:sz="4" w:space="0"/>
              <w:right w:val="single" w:color="000000" w:sz="4" w:space="0"/>
            </w:tcBorders>
            <w:noWrap/>
            <w:vAlign w:val="center"/>
          </w:tcPr>
          <w:p w14:paraId="458A1815">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龙溪大道</w:t>
            </w:r>
          </w:p>
        </w:tc>
        <w:tc>
          <w:tcPr>
            <w:tcW w:w="2233" w:type="dxa"/>
            <w:tcBorders>
              <w:top w:val="single" w:color="000000" w:sz="4" w:space="0"/>
              <w:left w:val="single" w:color="000000" w:sz="4" w:space="0"/>
              <w:bottom w:val="single" w:color="000000" w:sz="4" w:space="0"/>
              <w:right w:val="single" w:color="000000" w:sz="4" w:space="0"/>
            </w:tcBorders>
            <w:noWrap w:val="0"/>
            <w:vAlign w:val="center"/>
          </w:tcPr>
          <w:p w14:paraId="6F526F13">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两侧（直别路-鹏程路）</w:t>
            </w:r>
          </w:p>
        </w:tc>
        <w:tc>
          <w:tcPr>
            <w:tcW w:w="1267" w:type="dxa"/>
            <w:tcBorders>
              <w:top w:val="single" w:color="000000" w:sz="4" w:space="0"/>
              <w:left w:val="single" w:color="000000" w:sz="4" w:space="0"/>
              <w:bottom w:val="single" w:color="000000" w:sz="4" w:space="0"/>
              <w:right w:val="single" w:color="000000" w:sz="4" w:space="0"/>
            </w:tcBorders>
            <w:noWrap/>
            <w:vAlign w:val="center"/>
          </w:tcPr>
          <w:p w14:paraId="4E9ADCAE">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11700</w:t>
            </w:r>
          </w:p>
        </w:tc>
        <w:tc>
          <w:tcPr>
            <w:tcW w:w="1316" w:type="dxa"/>
            <w:tcBorders>
              <w:top w:val="single" w:color="000000" w:sz="4" w:space="0"/>
              <w:left w:val="single" w:color="000000" w:sz="4" w:space="0"/>
              <w:bottom w:val="single" w:color="000000" w:sz="4" w:space="0"/>
              <w:right w:val="single" w:color="000000" w:sz="4" w:space="0"/>
            </w:tcBorders>
            <w:noWrap/>
            <w:vAlign w:val="center"/>
          </w:tcPr>
          <w:p w14:paraId="4457F1B3">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四级</w:t>
            </w: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5E6E29FE">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有树有灌木</w:t>
            </w:r>
          </w:p>
        </w:tc>
        <w:tc>
          <w:tcPr>
            <w:tcW w:w="999" w:type="dxa"/>
            <w:tcBorders>
              <w:top w:val="single" w:color="000000" w:sz="4" w:space="0"/>
              <w:left w:val="nil"/>
              <w:bottom w:val="single" w:color="000000" w:sz="4" w:space="0"/>
              <w:right w:val="single" w:color="000000" w:sz="4" w:space="0"/>
            </w:tcBorders>
            <w:noWrap/>
            <w:vAlign w:val="center"/>
          </w:tcPr>
          <w:p w14:paraId="59A8317D">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508</w:t>
            </w:r>
          </w:p>
        </w:tc>
      </w:tr>
      <w:tr w14:paraId="2E727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25" w:type="dxa"/>
            <w:tcBorders>
              <w:top w:val="single" w:color="000000" w:sz="4" w:space="0"/>
              <w:left w:val="single" w:color="000000" w:sz="4" w:space="0"/>
              <w:bottom w:val="single" w:color="000000" w:sz="4" w:space="0"/>
              <w:right w:val="single" w:color="000000" w:sz="4" w:space="0"/>
            </w:tcBorders>
            <w:noWrap/>
            <w:vAlign w:val="center"/>
          </w:tcPr>
          <w:p w14:paraId="7FDE4234">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1710" w:type="dxa"/>
            <w:tcBorders>
              <w:top w:val="single" w:color="000000" w:sz="4" w:space="0"/>
              <w:left w:val="single" w:color="000000" w:sz="4" w:space="0"/>
              <w:bottom w:val="single" w:color="000000" w:sz="4" w:space="0"/>
              <w:right w:val="single" w:color="000000" w:sz="4" w:space="0"/>
            </w:tcBorders>
            <w:noWrap/>
            <w:vAlign w:val="center"/>
          </w:tcPr>
          <w:p w14:paraId="26B54E57">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其他</w:t>
            </w:r>
          </w:p>
        </w:tc>
        <w:tc>
          <w:tcPr>
            <w:tcW w:w="2233" w:type="dxa"/>
            <w:tcBorders>
              <w:top w:val="single" w:color="000000" w:sz="4" w:space="0"/>
              <w:left w:val="single" w:color="000000" w:sz="4" w:space="0"/>
              <w:bottom w:val="single" w:color="000000" w:sz="4" w:space="0"/>
              <w:right w:val="single" w:color="000000" w:sz="4" w:space="0"/>
            </w:tcBorders>
            <w:noWrap w:val="0"/>
            <w:vAlign w:val="center"/>
          </w:tcPr>
          <w:p w14:paraId="2474EEF5">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加油站东侧等</w:t>
            </w:r>
          </w:p>
        </w:tc>
        <w:tc>
          <w:tcPr>
            <w:tcW w:w="1267" w:type="dxa"/>
            <w:tcBorders>
              <w:top w:val="single" w:color="000000" w:sz="4" w:space="0"/>
              <w:left w:val="single" w:color="000000" w:sz="4" w:space="0"/>
              <w:bottom w:val="single" w:color="000000" w:sz="4" w:space="0"/>
              <w:right w:val="single" w:color="000000" w:sz="4" w:space="0"/>
            </w:tcBorders>
            <w:noWrap/>
            <w:vAlign w:val="center"/>
          </w:tcPr>
          <w:p w14:paraId="29D45924">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3000</w:t>
            </w:r>
          </w:p>
        </w:tc>
        <w:tc>
          <w:tcPr>
            <w:tcW w:w="1316" w:type="dxa"/>
            <w:tcBorders>
              <w:top w:val="single" w:color="000000" w:sz="4" w:space="0"/>
              <w:left w:val="single" w:color="000000" w:sz="4" w:space="0"/>
              <w:bottom w:val="single" w:color="000000" w:sz="4" w:space="0"/>
              <w:right w:val="single" w:color="000000" w:sz="4" w:space="0"/>
            </w:tcBorders>
            <w:noWrap/>
            <w:vAlign w:val="center"/>
          </w:tcPr>
          <w:p w14:paraId="0D0B0B0E">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四级</w:t>
            </w: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0C92EF78">
            <w:pPr>
              <w:jc w:val="center"/>
              <w:rPr>
                <w:rFonts w:hint="eastAsia" w:ascii="宋体" w:hAnsi="宋体" w:eastAsia="宋体" w:cs="宋体"/>
                <w:i w:val="0"/>
                <w:iCs w:val="0"/>
                <w:color w:val="000000"/>
                <w:kern w:val="2"/>
                <w:sz w:val="21"/>
                <w:szCs w:val="21"/>
                <w:highlight w:val="none"/>
                <w:u w:val="none"/>
              </w:rPr>
            </w:pPr>
          </w:p>
        </w:tc>
        <w:tc>
          <w:tcPr>
            <w:tcW w:w="999" w:type="dxa"/>
            <w:tcBorders>
              <w:top w:val="single" w:color="000000" w:sz="4" w:space="0"/>
              <w:left w:val="nil"/>
              <w:bottom w:val="single" w:color="000000" w:sz="4" w:space="0"/>
              <w:right w:val="single" w:color="000000" w:sz="4" w:space="0"/>
            </w:tcBorders>
            <w:noWrap/>
            <w:vAlign w:val="center"/>
          </w:tcPr>
          <w:p w14:paraId="6B4ACEC8">
            <w:pPr>
              <w:jc w:val="center"/>
              <w:rPr>
                <w:rFonts w:hint="eastAsia" w:ascii="宋体" w:hAnsi="宋体" w:eastAsia="宋体" w:cs="宋体"/>
                <w:i w:val="0"/>
                <w:iCs w:val="0"/>
                <w:color w:val="000000"/>
                <w:kern w:val="2"/>
                <w:sz w:val="21"/>
                <w:szCs w:val="21"/>
                <w:highlight w:val="none"/>
                <w:u w:val="none"/>
              </w:rPr>
            </w:pPr>
          </w:p>
        </w:tc>
      </w:tr>
    </w:tbl>
    <w:p w14:paraId="52070293">
      <w:pPr>
        <w:snapToGrid w:val="0"/>
        <w:spacing w:line="240" w:lineRule="auto"/>
        <w:ind w:firstLine="2319" w:firstLineChars="1100"/>
        <w:rPr>
          <w:rFonts w:hint="eastAsia" w:ascii="宋体" w:hAnsi="宋体" w:eastAsia="宋体" w:cs="宋体"/>
          <w:b/>
          <w:kern w:val="2"/>
          <w:sz w:val="21"/>
          <w:szCs w:val="21"/>
          <w:highlight w:val="none"/>
        </w:rPr>
      </w:pPr>
      <w:r>
        <w:rPr>
          <w:rFonts w:hint="eastAsia" w:ascii="宋体" w:hAnsi="宋体" w:eastAsia="宋体" w:cs="宋体"/>
          <w:b/>
          <w:kern w:val="2"/>
          <w:sz w:val="21"/>
          <w:szCs w:val="21"/>
          <w:highlight w:val="none"/>
        </w:rPr>
        <w:t xml:space="preserve"> </w:t>
      </w:r>
    </w:p>
    <w:p w14:paraId="38BB7E82">
      <w:pPr>
        <w:snapToGrid w:val="0"/>
        <w:spacing w:line="240" w:lineRule="auto"/>
        <w:jc w:val="center"/>
        <w:rPr>
          <w:rFonts w:hint="eastAsia" w:ascii="宋体" w:hAnsi="宋体" w:eastAsia="宋体" w:cs="宋体"/>
          <w:b/>
          <w:kern w:val="2"/>
          <w:sz w:val="21"/>
          <w:szCs w:val="21"/>
          <w:highlight w:val="none"/>
        </w:rPr>
      </w:pPr>
    </w:p>
    <w:p w14:paraId="56C3E240">
      <w:pPr>
        <w:snapToGrid w:val="0"/>
        <w:spacing w:line="240" w:lineRule="auto"/>
        <w:jc w:val="both"/>
        <w:rPr>
          <w:rFonts w:hint="eastAsia" w:ascii="宋体" w:hAnsi="宋体" w:eastAsia="宋体" w:cs="宋体"/>
          <w:b/>
          <w:kern w:val="2"/>
          <w:sz w:val="21"/>
          <w:szCs w:val="21"/>
          <w:highlight w:val="none"/>
        </w:rPr>
      </w:pPr>
    </w:p>
    <w:p w14:paraId="20964E61">
      <w:pPr>
        <w:snapToGrid w:val="0"/>
        <w:spacing w:line="360" w:lineRule="auto"/>
        <w:jc w:val="center"/>
        <w:rPr>
          <w:rFonts w:hint="eastAsia" w:ascii="宋体" w:hAnsi="宋体" w:eastAsia="宋体" w:cs="宋体"/>
          <w:b/>
          <w:kern w:val="2"/>
          <w:sz w:val="21"/>
          <w:szCs w:val="21"/>
          <w:highlight w:val="none"/>
        </w:rPr>
      </w:pPr>
    </w:p>
    <w:p w14:paraId="60BDBCEB">
      <w:pPr>
        <w:snapToGrid w:val="0"/>
        <w:spacing w:line="360" w:lineRule="auto"/>
        <w:jc w:val="center"/>
        <w:rPr>
          <w:rFonts w:hint="eastAsia" w:ascii="宋体" w:hAnsi="宋体" w:eastAsia="宋体" w:cs="宋体"/>
          <w:b/>
          <w:kern w:val="2"/>
          <w:sz w:val="21"/>
          <w:szCs w:val="21"/>
          <w:highlight w:val="none"/>
        </w:rPr>
      </w:pPr>
      <w:r>
        <w:rPr>
          <w:rFonts w:hint="eastAsia" w:ascii="宋体" w:hAnsi="宋体" w:eastAsia="宋体" w:cs="宋体"/>
          <w:b/>
          <w:kern w:val="2"/>
          <w:sz w:val="21"/>
          <w:szCs w:val="21"/>
          <w:highlight w:val="none"/>
        </w:rPr>
        <w:t>关于养护区域各类垃圾清理、运输、倾倒的要求</w:t>
      </w:r>
    </w:p>
    <w:p w14:paraId="61F5E8D0">
      <w:pPr>
        <w:snapToGrid w:val="0"/>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养护作业单位对养护区域开展环境清理，配合环卫部门处理各类日常垃圾；负责做好各类绿化垃圾的处置；每个月不定期清理整治养护区域的陈旧垃圾。</w:t>
      </w:r>
    </w:p>
    <w:p w14:paraId="44F8FD87">
      <w:pPr>
        <w:snapToGrid w:val="0"/>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所有用于养护作业的车辆、机械均为养护作业单位响应邀约而必须遵守的基本投入，其资产权属完全属于养护作业单位，养护运营单位不支付因合同终止、合同不再续约、法律法规调整、运距调整等导致的折旧、保险、报废等费用。</w:t>
      </w:r>
    </w:p>
    <w:p w14:paraId="491A8521">
      <w:pPr>
        <w:snapToGrid w:val="0"/>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绿化垃圾的收集、运输、倾倒必须按照以下规定操作执行：</w:t>
      </w:r>
    </w:p>
    <w:p w14:paraId="3D442326">
      <w:pPr>
        <w:snapToGrid w:val="0"/>
        <w:spacing w:line="360" w:lineRule="auto"/>
        <w:ind w:firstLine="422" w:firstLineChars="200"/>
        <w:jc w:val="left"/>
        <w:rPr>
          <w:rFonts w:hint="eastAsia" w:ascii="宋体" w:hAnsi="宋体" w:eastAsia="宋体" w:cs="宋体"/>
          <w:b/>
          <w:kern w:val="2"/>
          <w:sz w:val="21"/>
          <w:szCs w:val="21"/>
          <w:highlight w:val="none"/>
        </w:rPr>
      </w:pPr>
      <w:r>
        <w:rPr>
          <w:rFonts w:hint="eastAsia" w:ascii="宋体" w:hAnsi="宋体" w:eastAsia="宋体" w:cs="宋体"/>
          <w:b/>
          <w:kern w:val="2"/>
          <w:sz w:val="21"/>
          <w:szCs w:val="21"/>
          <w:highlight w:val="none"/>
        </w:rPr>
        <w:t>园林绿化垃圾的种类：</w:t>
      </w:r>
    </w:p>
    <w:p w14:paraId="01B1D1E3">
      <w:pPr>
        <w:snapToGrid w:val="0"/>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1、大型树枝、枯死树</w:t>
      </w:r>
    </w:p>
    <w:p w14:paraId="2E6D69D0">
      <w:pPr>
        <w:snapToGrid w:val="0"/>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养护作业中产生的各类大型树枝、枯死树，必须时产时清，作业结束后必须工完场清。</w:t>
      </w:r>
    </w:p>
    <w:p w14:paraId="068747D4">
      <w:pPr>
        <w:snapToGrid w:val="0"/>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2、乔灌木、草坪修剪物、杂草</w:t>
      </w:r>
    </w:p>
    <w:p w14:paraId="4ECB128A">
      <w:pPr>
        <w:snapToGrid w:val="0"/>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以上三类绿化垃圾不得堆放在道路绿化带中，在公园游园范围作业中需要临时集中堆放的，堆放现场必须有“绿化垃圾临时堆放”指示牌设置并在地面摊铺覆盖物防止污染路面。作业结束后必须同时清理结束，临时堆放不得超过半天。</w:t>
      </w:r>
    </w:p>
    <w:p w14:paraId="61BC7922">
      <w:pPr>
        <w:snapToGrid w:val="0"/>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3、水生植物</w:t>
      </w:r>
    </w:p>
    <w:p w14:paraId="29D8B236">
      <w:pPr>
        <w:snapToGrid w:val="0"/>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荷叶、再力花、芦苇、菖蒲等水生植物含水量较大，清理后需要临时堆放的，地面必须摊铺覆盖物防止污染路面，作业结束后必须同时清理结束，临时堆放不得超过1天。</w:t>
      </w:r>
    </w:p>
    <w:p w14:paraId="5BE52A24">
      <w:pPr>
        <w:snapToGrid w:val="0"/>
        <w:spacing w:line="360" w:lineRule="auto"/>
        <w:ind w:firstLine="585"/>
        <w:jc w:val="left"/>
        <w:rPr>
          <w:rFonts w:hint="eastAsia" w:ascii="宋体" w:hAnsi="宋体" w:eastAsia="宋体" w:cs="宋体"/>
          <w:b/>
          <w:kern w:val="2"/>
          <w:sz w:val="21"/>
          <w:szCs w:val="21"/>
          <w:highlight w:val="none"/>
        </w:rPr>
      </w:pPr>
      <w:r>
        <w:rPr>
          <w:rFonts w:hint="eastAsia" w:ascii="宋体" w:hAnsi="宋体" w:eastAsia="宋体" w:cs="宋体"/>
          <w:b/>
          <w:kern w:val="2"/>
          <w:sz w:val="21"/>
          <w:szCs w:val="21"/>
          <w:highlight w:val="none"/>
        </w:rPr>
        <w:t>收集、清运车辆</w:t>
      </w:r>
    </w:p>
    <w:p w14:paraId="5639B47C">
      <w:pPr>
        <w:snapToGrid w:val="0"/>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1、所有收集、清运车辆以及驾驶员的资格条件必须符合交警车管部门的要求。</w:t>
      </w:r>
    </w:p>
    <w:p w14:paraId="3443886A">
      <w:pPr>
        <w:snapToGrid w:val="0"/>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2、所有清运倾倒车辆，养护作业单位在养护合同签订后凭中标通知书或合同至区城管环卫部门进行备案。</w:t>
      </w:r>
    </w:p>
    <w:p w14:paraId="0CB4943C">
      <w:pPr>
        <w:snapToGrid w:val="0"/>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3、大型树枝、枯死树、水生植物：可使用封闭式卡车进行收集清运（样式详见附图）。水生植物修剪物在运输过程中，清运车辆车斗必须摊铺隔水材料，防止滴漏。</w:t>
      </w:r>
    </w:p>
    <w:p w14:paraId="32226936">
      <w:pPr>
        <w:snapToGrid w:val="0"/>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4、乔灌木、草坪修剪物、杂草：可使用封闭式三轮车（电动及汽油动力均可，必须符合车管部门要求，样式详见附图））</w:t>
      </w:r>
    </w:p>
    <w:p w14:paraId="09BAEB5C">
      <w:pPr>
        <w:snapToGrid w:val="0"/>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5、养护合同签订后，作业单位清运车辆因不符合上述要求而造成的所有后果由作业单位自行负责。</w:t>
      </w:r>
    </w:p>
    <w:p w14:paraId="685B0A13">
      <w:pPr>
        <w:snapToGrid w:val="0"/>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6、车辆租用的，其租用期限不得小于养护周期，期间因特殊原因必须更换车辆的，必须按照相同技术参数的车辆更换。</w:t>
      </w:r>
    </w:p>
    <w:p w14:paraId="745CB490">
      <w:pPr>
        <w:snapToGrid w:val="0"/>
        <w:spacing w:line="360" w:lineRule="auto"/>
        <w:ind w:firstLine="422" w:firstLineChars="200"/>
        <w:jc w:val="left"/>
        <w:rPr>
          <w:rFonts w:hint="eastAsia" w:ascii="宋体" w:hAnsi="宋体" w:eastAsia="宋体" w:cs="宋体"/>
          <w:kern w:val="2"/>
          <w:sz w:val="21"/>
          <w:szCs w:val="21"/>
          <w:highlight w:val="none"/>
        </w:rPr>
      </w:pPr>
      <w:r>
        <w:rPr>
          <w:rFonts w:hint="eastAsia" w:ascii="宋体" w:hAnsi="宋体" w:eastAsia="宋体" w:cs="宋体"/>
          <w:b/>
          <w:kern w:val="2"/>
          <w:sz w:val="21"/>
          <w:szCs w:val="21"/>
          <w:highlight w:val="none"/>
        </w:rPr>
        <w:t>倾倒地点：</w:t>
      </w:r>
      <w:r>
        <w:rPr>
          <w:rFonts w:hint="eastAsia" w:ascii="宋体" w:hAnsi="宋体" w:eastAsia="宋体" w:cs="宋体"/>
          <w:kern w:val="2"/>
          <w:sz w:val="21"/>
          <w:szCs w:val="21"/>
          <w:highlight w:val="none"/>
        </w:rPr>
        <w:t>在到环卫部门备案后，按照环卫部门要求进行定点倾倒，倾倒过程服从环卫部门管理。</w:t>
      </w:r>
    </w:p>
    <w:p w14:paraId="231CDAF3">
      <w:pPr>
        <w:snapToGrid w:val="0"/>
        <w:spacing w:line="360" w:lineRule="auto"/>
        <w:ind w:firstLine="422" w:firstLineChars="200"/>
        <w:jc w:val="left"/>
        <w:rPr>
          <w:rFonts w:hint="eastAsia" w:ascii="宋体" w:hAnsi="宋体" w:eastAsia="宋体" w:cs="宋体"/>
          <w:b/>
          <w:kern w:val="2"/>
          <w:sz w:val="21"/>
          <w:szCs w:val="21"/>
          <w:highlight w:val="none"/>
        </w:rPr>
      </w:pPr>
      <w:r>
        <w:rPr>
          <w:rFonts w:hint="eastAsia" w:ascii="宋体" w:hAnsi="宋体" w:eastAsia="宋体" w:cs="宋体"/>
          <w:b/>
          <w:kern w:val="2"/>
          <w:sz w:val="21"/>
          <w:szCs w:val="21"/>
          <w:highlight w:val="none"/>
        </w:rPr>
        <w:t>收集要求</w:t>
      </w:r>
    </w:p>
    <w:p w14:paraId="3846D284">
      <w:pPr>
        <w:snapToGrid w:val="0"/>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所有园林绿化垃圾在收集、运输、倾倒过程中必须严格遵照不同垃圾各自装车的要求，不得混装更不得掺杂建筑垃圾、生活垃圾等。</w:t>
      </w:r>
    </w:p>
    <w:p w14:paraId="02A4F925">
      <w:pPr>
        <w:snapToGrid w:val="0"/>
        <w:spacing w:line="360" w:lineRule="auto"/>
        <w:ind w:firstLine="422" w:firstLineChars="200"/>
        <w:jc w:val="left"/>
        <w:rPr>
          <w:rFonts w:hint="eastAsia" w:ascii="宋体" w:hAnsi="宋体" w:eastAsia="宋体" w:cs="宋体"/>
          <w:b/>
          <w:kern w:val="2"/>
          <w:sz w:val="21"/>
          <w:szCs w:val="21"/>
          <w:highlight w:val="none"/>
        </w:rPr>
      </w:pPr>
      <w:r>
        <w:rPr>
          <w:rFonts w:hint="eastAsia" w:ascii="宋体" w:hAnsi="宋体" w:eastAsia="宋体" w:cs="宋体"/>
          <w:b/>
          <w:kern w:val="2"/>
          <w:sz w:val="21"/>
          <w:szCs w:val="21"/>
          <w:highlight w:val="none"/>
        </w:rPr>
        <w:t>违约责任</w:t>
      </w:r>
    </w:p>
    <w:p w14:paraId="35DE9E22">
      <w:pPr>
        <w:snapToGrid w:val="0"/>
        <w:spacing w:line="360" w:lineRule="auto"/>
        <w:ind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未及时清理、随意倾倒、偷倒各类园林绿化垃圾，以及垃圾混装被查实后除相关职能部门进行处理外，园林处将根据查处结果核减养护作业单位违约金10000元/次；</w:t>
      </w:r>
    </w:p>
    <w:p w14:paraId="50EEDCCC">
      <w:pPr>
        <w:rPr>
          <w:b/>
          <w:color w:val="000000" w:themeColor="text1"/>
          <w:sz w:val="36"/>
          <w:szCs w:val="36"/>
          <w:highlight w:val="none"/>
          <w14:textFill>
            <w14:solidFill>
              <w14:schemeClr w14:val="tx1"/>
            </w14:solidFill>
          </w14:textFill>
        </w:rPr>
      </w:pPr>
    </w:p>
    <w:p w14:paraId="2CA08233">
      <w:pPr>
        <w:spacing w:line="360" w:lineRule="auto"/>
        <w:jc w:val="center"/>
        <w:outlineLvl w:val="0"/>
        <w:rPr>
          <w:b/>
          <w:color w:val="000000" w:themeColor="text1"/>
          <w:sz w:val="36"/>
          <w:szCs w:val="36"/>
          <w:highlight w:val="none"/>
          <w14:textFill>
            <w14:solidFill>
              <w14:schemeClr w14:val="tx1"/>
            </w14:solidFill>
          </w14:textFill>
        </w:rPr>
      </w:pPr>
    </w:p>
    <w:p w14:paraId="26A6348A">
      <w:pPr>
        <w:spacing w:line="360" w:lineRule="auto"/>
        <w:jc w:val="center"/>
        <w:outlineLvl w:val="0"/>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第六章   响应文件格式</w:t>
      </w:r>
      <w:bookmarkEnd w:id="673"/>
    </w:p>
    <w:p w14:paraId="07A84C18">
      <w:pPr>
        <w:tabs>
          <w:tab w:val="left" w:pos="900"/>
          <w:tab w:val="left" w:pos="1980"/>
        </w:tabs>
        <w:spacing w:line="360" w:lineRule="auto"/>
        <w:ind w:left="142"/>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供应商编制文件须知</w:t>
      </w:r>
    </w:p>
    <w:p w14:paraId="138B3AF9">
      <w:pPr>
        <w:tabs>
          <w:tab w:val="left" w:pos="900"/>
          <w:tab w:val="left" w:pos="1980"/>
        </w:tabs>
        <w:spacing w:line="360" w:lineRule="auto"/>
        <w:ind w:left="14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1、供应商按照本部分的顺序编制响应文件，编制中涉及格式资料的，应按照本部分提供的内容和格式（所有表格的格式可扩展）填写提交。</w:t>
      </w:r>
    </w:p>
    <w:p w14:paraId="778F2766">
      <w:pPr>
        <w:tabs>
          <w:tab w:val="left" w:pos="900"/>
          <w:tab w:val="left" w:pos="1980"/>
        </w:tabs>
        <w:spacing w:line="360" w:lineRule="auto"/>
        <w:ind w:left="14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14:textFill>
            <w14:solidFill>
              <w14:schemeClr w14:val="tx1"/>
            </w14:solidFill>
          </w14:textFill>
        </w:rPr>
        <w:t>否则响应无效</w:t>
      </w:r>
      <w:r>
        <w:rPr>
          <w:color w:val="000000" w:themeColor="text1"/>
          <w:sz w:val="24"/>
          <w:highlight w:val="none"/>
          <w14:textFill>
            <w14:solidFill>
              <w14:schemeClr w14:val="tx1"/>
            </w14:solidFill>
          </w14:textFill>
        </w:rPr>
        <w:t>。未标记“实质性格式”的文件和竞争性磋商文件未提供格式的内容，可由供应商自行编写。</w:t>
      </w:r>
    </w:p>
    <w:p w14:paraId="589A74A9">
      <w:pPr>
        <w:tabs>
          <w:tab w:val="left" w:pos="900"/>
          <w:tab w:val="left" w:pos="1980"/>
        </w:tabs>
        <w:spacing w:line="360" w:lineRule="auto"/>
        <w:ind w:left="14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3、全部声明和问题的回答及所附材料必须是真实的、准确的和完整的。</w:t>
      </w:r>
    </w:p>
    <w:p w14:paraId="19C740E5">
      <w:pPr>
        <w:tabs>
          <w:tab w:val="left" w:pos="900"/>
          <w:tab w:val="left" w:pos="1980"/>
        </w:tabs>
        <w:spacing w:line="360" w:lineRule="auto"/>
        <w:ind w:left="142"/>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4、实行电子化不见面交易方式的，加盖公章、签名等均通过</w:t>
      </w:r>
      <w:r>
        <w:rPr>
          <w:color w:val="000000" w:themeColor="text1"/>
          <w:sz w:val="24"/>
          <w:highlight w:val="none"/>
          <w14:textFill>
            <w14:solidFill>
              <w14:schemeClr w14:val="tx1"/>
            </w14:solidFill>
          </w14:textFill>
        </w:rPr>
        <w:t>响应文件编制工具</w:t>
      </w:r>
      <w:r>
        <w:rPr>
          <w:rFonts w:hint="eastAsia"/>
          <w:color w:val="000000" w:themeColor="text1"/>
          <w:sz w:val="24"/>
          <w:highlight w:val="none"/>
          <w14:textFill>
            <w14:solidFill>
              <w14:schemeClr w14:val="tx1"/>
            </w14:solidFill>
          </w14:textFill>
        </w:rPr>
        <w:t>加盖电子公章、</w:t>
      </w:r>
      <w:r>
        <w:rPr>
          <w:rFonts w:ascii="宋体" w:hAnsi="宋体"/>
          <w:color w:val="000000" w:themeColor="text1"/>
          <w:sz w:val="24"/>
          <w:szCs w:val="20"/>
          <w:highlight w:val="none"/>
          <w14:textFill>
            <w14:solidFill>
              <w14:schemeClr w14:val="tx1"/>
            </w14:solidFill>
          </w14:textFill>
        </w:rPr>
        <w:t>签字</w:t>
      </w:r>
      <w:r>
        <w:rPr>
          <w:rFonts w:hint="eastAsia" w:ascii="宋体" w:hAnsi="宋体"/>
          <w:color w:val="000000" w:themeColor="text1"/>
          <w:sz w:val="24"/>
          <w:szCs w:val="20"/>
          <w:highlight w:val="none"/>
          <w14:textFill>
            <w14:solidFill>
              <w14:schemeClr w14:val="tx1"/>
            </w14:solidFill>
          </w14:textFill>
        </w:rPr>
        <w:t>、签章</w:t>
      </w:r>
      <w:r>
        <w:rPr>
          <w:rFonts w:ascii="宋体" w:hAnsi="宋体"/>
          <w:color w:val="000000" w:themeColor="text1"/>
          <w:sz w:val="24"/>
          <w:szCs w:val="20"/>
          <w:highlight w:val="none"/>
          <w14:textFill>
            <w14:solidFill>
              <w14:schemeClr w14:val="tx1"/>
            </w14:solidFill>
          </w14:textFill>
        </w:rPr>
        <w:t>或</w:t>
      </w:r>
      <w:r>
        <w:rPr>
          <w:rFonts w:hint="eastAsia" w:ascii="宋体" w:hAnsi="宋体"/>
          <w:color w:val="000000" w:themeColor="text1"/>
          <w:sz w:val="24"/>
          <w:szCs w:val="20"/>
          <w:highlight w:val="none"/>
          <w14:textFill>
            <w14:solidFill>
              <w14:schemeClr w14:val="tx1"/>
            </w14:solidFill>
          </w14:textFill>
        </w:rPr>
        <w:t>印鉴</w:t>
      </w:r>
      <w:r>
        <w:rPr>
          <w:rFonts w:hint="eastAsia"/>
          <w:color w:val="000000" w:themeColor="text1"/>
          <w:sz w:val="24"/>
          <w:highlight w:val="none"/>
          <w14:textFill>
            <w14:solidFill>
              <w14:schemeClr w14:val="tx1"/>
            </w14:solidFill>
          </w14:textFill>
        </w:rPr>
        <w:t>。</w:t>
      </w:r>
    </w:p>
    <w:p w14:paraId="624992C3">
      <w:pPr>
        <w:tabs>
          <w:tab w:val="left" w:pos="900"/>
          <w:tab w:val="left" w:pos="1980"/>
        </w:tabs>
        <w:spacing w:line="360" w:lineRule="auto"/>
        <w:ind w:left="142"/>
        <w:rPr>
          <w:color w:val="000000" w:themeColor="text1"/>
          <w:sz w:val="24"/>
          <w:highlight w:val="none"/>
          <w14:textFill>
            <w14:solidFill>
              <w14:schemeClr w14:val="tx1"/>
            </w14:solidFill>
          </w14:textFill>
        </w:rPr>
      </w:pPr>
    </w:p>
    <w:p w14:paraId="52025697">
      <w:pPr>
        <w:widowControl/>
        <w:jc w:val="left"/>
        <w:rPr>
          <w:b/>
          <w:color w:val="000000" w:themeColor="text1"/>
          <w:spacing w:val="20"/>
          <w:szCs w:val="21"/>
          <w:highlight w:val="none"/>
          <w14:textFill>
            <w14:solidFill>
              <w14:schemeClr w14:val="tx1"/>
            </w14:solidFill>
          </w14:textFill>
        </w:rPr>
      </w:pPr>
      <w:r>
        <w:rPr>
          <w:color w:val="000000" w:themeColor="text1"/>
          <w:sz w:val="24"/>
          <w:highlight w:val="none"/>
          <w14:textFill>
            <w14:solidFill>
              <w14:schemeClr w14:val="tx1"/>
            </w14:solidFill>
          </w14:textFill>
        </w:rPr>
        <w:br w:type="page" w:clear="all"/>
      </w:r>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p>
    <w:p w14:paraId="471DCCF5">
      <w:pPr>
        <w:rPr>
          <w:b/>
          <w:color w:val="000000" w:themeColor="text1"/>
          <w:sz w:val="24"/>
          <w:highlight w:val="none"/>
          <w14:textFill>
            <w14:solidFill>
              <w14:schemeClr w14:val="tx1"/>
            </w14:solidFill>
          </w14:textFill>
        </w:rPr>
      </w:pPr>
      <w:r>
        <w:rPr>
          <w:b/>
          <w:color w:val="000000" w:themeColor="text1"/>
          <w:spacing w:val="20"/>
          <w:sz w:val="24"/>
          <w:highlight w:val="none"/>
          <w14:textFill>
            <w14:solidFill>
              <w14:schemeClr w14:val="tx1"/>
            </w14:solidFill>
          </w14:textFill>
        </w:rPr>
        <w:t>响应文件</w:t>
      </w:r>
      <w:r>
        <w:rPr>
          <w:b/>
          <w:color w:val="000000" w:themeColor="text1"/>
          <w:sz w:val="24"/>
          <w:highlight w:val="none"/>
          <w14:textFill>
            <w14:solidFill>
              <w14:schemeClr w14:val="tx1"/>
            </w14:solidFill>
          </w14:textFill>
        </w:rPr>
        <w:t>封面（非实质性格式）</w:t>
      </w:r>
    </w:p>
    <w:p w14:paraId="78FC08B6">
      <w:pPr>
        <w:jc w:val="center"/>
        <w:rPr>
          <w:color w:val="000000" w:themeColor="text1"/>
          <w:szCs w:val="21"/>
          <w:highlight w:val="none"/>
          <w14:textFill>
            <w14:solidFill>
              <w14:schemeClr w14:val="tx1"/>
            </w14:solidFill>
          </w14:textFill>
        </w:rPr>
      </w:pPr>
    </w:p>
    <w:p w14:paraId="3ADBDFDD">
      <w:pPr>
        <w:jc w:val="center"/>
        <w:rPr>
          <w:b/>
          <w:color w:val="000000" w:themeColor="text1"/>
          <w:spacing w:val="60"/>
          <w:sz w:val="84"/>
          <w:szCs w:val="84"/>
          <w:highlight w:val="none"/>
          <w14:textFill>
            <w14:solidFill>
              <w14:schemeClr w14:val="tx1"/>
            </w14:solidFill>
          </w14:textFill>
        </w:rPr>
      </w:pPr>
      <w:r>
        <w:rPr>
          <w:b/>
          <w:color w:val="000000" w:themeColor="text1"/>
          <w:spacing w:val="60"/>
          <w:sz w:val="84"/>
          <w:szCs w:val="84"/>
          <w:highlight w:val="none"/>
          <w14:textFill>
            <w14:solidFill>
              <w14:schemeClr w14:val="tx1"/>
            </w14:solidFill>
          </w14:textFill>
        </w:rPr>
        <w:t>响 应 文 件</w:t>
      </w:r>
    </w:p>
    <w:p w14:paraId="277C4D1F">
      <w:pPr>
        <w:jc w:val="center"/>
        <w:rPr>
          <w:b/>
          <w:color w:val="000000" w:themeColor="text1"/>
          <w:spacing w:val="60"/>
          <w:sz w:val="52"/>
          <w:szCs w:val="52"/>
          <w:highlight w:val="none"/>
          <w14:textFill>
            <w14:solidFill>
              <w14:schemeClr w14:val="tx1"/>
            </w14:solidFill>
          </w14:textFill>
        </w:rPr>
      </w:pPr>
    </w:p>
    <w:p w14:paraId="6129BE3B">
      <w:pPr>
        <w:ind w:firstLine="542"/>
        <w:rPr>
          <w:b/>
          <w:color w:val="000000" w:themeColor="text1"/>
          <w:spacing w:val="20"/>
          <w:sz w:val="32"/>
          <w:szCs w:val="32"/>
          <w:highlight w:val="none"/>
          <w14:textFill>
            <w14:solidFill>
              <w14:schemeClr w14:val="tx1"/>
            </w14:solidFill>
          </w14:textFill>
        </w:rPr>
      </w:pPr>
    </w:p>
    <w:p w14:paraId="797F26CA">
      <w:pPr>
        <w:ind w:firstLine="542"/>
        <w:rPr>
          <w:b/>
          <w:color w:val="000000" w:themeColor="text1"/>
          <w:spacing w:val="20"/>
          <w:sz w:val="32"/>
          <w:szCs w:val="32"/>
          <w:highlight w:val="none"/>
          <w14:textFill>
            <w14:solidFill>
              <w14:schemeClr w14:val="tx1"/>
            </w14:solidFill>
          </w14:textFill>
        </w:rPr>
      </w:pPr>
    </w:p>
    <w:p w14:paraId="58585720">
      <w:pPr>
        <w:ind w:firstLine="1084"/>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项 目 名 称：</w:t>
      </w:r>
      <w:r>
        <w:rPr>
          <w:rFonts w:hint="eastAsia" w:ascii="宋体" w:hAnsi="宋体"/>
          <w:b/>
          <w:color w:val="000000" w:themeColor="text1"/>
          <w:sz w:val="36"/>
          <w:highlight w:val="none"/>
          <w:u w:val="single"/>
          <w14:textFill>
            <w14:solidFill>
              <w14:schemeClr w14:val="tx1"/>
            </w14:solidFill>
          </w14:textFill>
        </w:rPr>
        <w:t xml:space="preserve">               </w:t>
      </w:r>
    </w:p>
    <w:p w14:paraId="1DBEF9EA">
      <w:pPr>
        <w:ind w:firstLine="1084"/>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项 目 编 号：</w:t>
      </w:r>
      <w:r>
        <w:rPr>
          <w:rFonts w:hint="eastAsia" w:ascii="宋体" w:hAnsi="宋体"/>
          <w:b/>
          <w:color w:val="000000" w:themeColor="text1"/>
          <w:sz w:val="36"/>
          <w:highlight w:val="none"/>
          <w:u w:val="single"/>
          <w14:textFill>
            <w14:solidFill>
              <w14:schemeClr w14:val="tx1"/>
            </w14:solidFill>
          </w14:textFill>
        </w:rPr>
        <w:t xml:space="preserve">               </w:t>
      </w:r>
    </w:p>
    <w:p w14:paraId="78C84F88">
      <w:pPr>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供应商名称 ：</w:t>
      </w:r>
      <w:r>
        <w:rPr>
          <w:rFonts w:hint="eastAsia" w:ascii="宋体" w:hAnsi="宋体"/>
          <w:b/>
          <w:color w:val="000000" w:themeColor="text1"/>
          <w:sz w:val="36"/>
          <w:highlight w:val="none"/>
          <w:u w:val="single"/>
          <w14:textFill>
            <w14:solidFill>
              <w14:schemeClr w14:val="tx1"/>
            </w14:solidFill>
          </w14:textFill>
        </w:rPr>
        <w:t xml:space="preserve">               </w:t>
      </w:r>
    </w:p>
    <w:p w14:paraId="56CD18F3">
      <w:pPr>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日      期 ：</w:t>
      </w:r>
      <w:r>
        <w:rPr>
          <w:rFonts w:hint="eastAsia" w:ascii="宋体" w:hAnsi="宋体"/>
          <w:b/>
          <w:color w:val="000000" w:themeColor="text1"/>
          <w:sz w:val="36"/>
          <w:highlight w:val="none"/>
          <w:u w:val="single"/>
          <w14:textFill>
            <w14:solidFill>
              <w14:schemeClr w14:val="tx1"/>
            </w14:solidFill>
          </w14:textFill>
        </w:rPr>
        <w:t xml:space="preserve">               </w:t>
      </w:r>
    </w:p>
    <w:p w14:paraId="3621E60C">
      <w:pPr>
        <w:jc w:val="center"/>
        <w:rPr>
          <w:b/>
          <w:color w:val="000000" w:themeColor="text1"/>
          <w:sz w:val="32"/>
          <w:szCs w:val="32"/>
          <w:highlight w:val="none"/>
          <w14:textFill>
            <w14:solidFill>
              <w14:schemeClr w14:val="tx1"/>
            </w14:solidFill>
          </w14:textFill>
        </w:rPr>
      </w:pPr>
    </w:p>
    <w:p w14:paraId="18A98617">
      <w:pPr>
        <w:rPr>
          <w:b/>
          <w:color w:val="000000" w:themeColor="text1"/>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br w:type="page" w:clear="all"/>
      </w:r>
    </w:p>
    <w:p w14:paraId="512B1385">
      <w:pPr>
        <w:spacing w:line="360" w:lineRule="auto"/>
        <w:outlineLvl w:val="2"/>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1 </w:t>
      </w:r>
      <w:r>
        <w:rPr>
          <w:color w:val="000000" w:themeColor="text1"/>
          <w:sz w:val="24"/>
          <w:highlight w:val="none"/>
          <w14:textFill>
            <w14:solidFill>
              <w14:schemeClr w14:val="tx1"/>
            </w14:solidFill>
          </w14:textFill>
        </w:rPr>
        <w:t>满足《中华人民共和国政府采购法》第二十二条规定及法律法规的其他规定</w:t>
      </w:r>
    </w:p>
    <w:p w14:paraId="5F77E282">
      <w:pPr>
        <w:pStyle w:val="188"/>
        <w:rPr>
          <w:rFonts w:ascii="Times New Roman"/>
          <w:b w:val="0"/>
          <w:bCs/>
          <w:color w:val="000000" w:themeColor="text1"/>
          <w:highlight w:val="none"/>
          <w:u w:val="none"/>
          <w14:textFill>
            <w14:solidFill>
              <w14:schemeClr w14:val="tx1"/>
            </w14:solidFill>
          </w14:textFill>
        </w:rPr>
      </w:pPr>
      <w:r>
        <w:rPr>
          <w:rFonts w:ascii="Times New Roman"/>
          <w:b w:val="0"/>
          <w:color w:val="000000" w:themeColor="text1"/>
          <w:highlight w:val="none"/>
          <w:u w:val="none"/>
          <w14:textFill>
            <w14:solidFill>
              <w14:schemeClr w14:val="tx1"/>
            </w14:solidFill>
          </w14:textFill>
        </w:rPr>
        <w:t>1-</w:t>
      </w:r>
      <w:r>
        <w:rPr>
          <w:rFonts w:hint="eastAsia" w:ascii="Times New Roman"/>
          <w:b w:val="0"/>
          <w:color w:val="000000" w:themeColor="text1"/>
          <w:highlight w:val="none"/>
          <w:u w:val="none"/>
          <w14:textFill>
            <w14:solidFill>
              <w14:schemeClr w14:val="tx1"/>
            </w14:solidFill>
          </w14:textFill>
        </w:rPr>
        <w:t>1</w:t>
      </w:r>
      <w:r>
        <w:rPr>
          <w:rFonts w:ascii="Times New Roman"/>
          <w:b w:val="0"/>
          <w:color w:val="000000" w:themeColor="text1"/>
          <w:highlight w:val="none"/>
          <w:u w:val="none"/>
          <w14:textFill>
            <w14:solidFill>
              <w14:schemeClr w14:val="tx1"/>
            </w14:solidFill>
          </w14:textFill>
        </w:rPr>
        <w:t xml:space="preserve"> 供应商资格声明</w:t>
      </w:r>
      <w:r>
        <w:rPr>
          <w:rFonts w:hint="eastAsia" w:ascii="Times New Roman"/>
          <w:b w:val="0"/>
          <w:color w:val="000000" w:themeColor="text1"/>
          <w:highlight w:val="none"/>
          <w:u w:val="none"/>
          <w14:textFill>
            <w14:solidFill>
              <w14:schemeClr w14:val="tx1"/>
            </w14:solidFill>
          </w14:textFill>
        </w:rPr>
        <w:t>函</w:t>
      </w:r>
      <w:r>
        <w:rPr>
          <w:rFonts w:ascii="Times New Roman"/>
          <w:b w:val="0"/>
          <w:color w:val="000000" w:themeColor="text1"/>
          <w:highlight w:val="none"/>
          <w:u w:val="none"/>
          <w14:textFill>
            <w14:solidFill>
              <w14:schemeClr w14:val="tx1"/>
            </w14:solidFill>
          </w14:textFill>
        </w:rPr>
        <w:t>（实质性格式）</w:t>
      </w:r>
    </w:p>
    <w:p w14:paraId="1EE65716">
      <w:pPr>
        <w:widowControl/>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供应商资格声明函</w:t>
      </w:r>
    </w:p>
    <w:p w14:paraId="5EC3F320">
      <w:pPr>
        <w:pStyle w:val="187"/>
        <w:spacing w:line="460" w:lineRule="exact"/>
        <w:ind w:firstLine="480"/>
        <w:rPr>
          <w:rFonts w:ascii="Times New Roman" w:hAnsi="Times New Roman" w:eastAsia="宋体" w:cs="Times New Roman"/>
          <w:b w:val="0"/>
          <w:bCs/>
          <w:color w:val="000000" w:themeColor="text1"/>
          <w:sz w:val="24"/>
          <w:szCs w:val="20"/>
          <w:highlight w:val="none"/>
          <w:u w:val="none"/>
          <w14:textFill>
            <w14:solidFill>
              <w14:schemeClr w14:val="tx1"/>
            </w14:solidFill>
          </w14:textFill>
        </w:rPr>
      </w:pPr>
      <w:r>
        <w:rPr>
          <w:rFonts w:hint="eastAsia"/>
          <w:color w:val="000000" w:themeColor="text1"/>
          <w:highlight w:val="none"/>
          <w14:textFill>
            <w14:solidFill>
              <w14:schemeClr w14:val="tx1"/>
            </w14:solidFill>
          </w14:textFill>
        </w:rPr>
        <w:t>致：</w:t>
      </w:r>
      <w:r>
        <w:rPr>
          <w:rFonts w:hint="eastAsia" w:ascii="Times New Roman" w:cs="Times New Roman"/>
          <w:b w:val="0"/>
          <w:bCs/>
          <w:color w:val="000000" w:themeColor="text1"/>
          <w:sz w:val="24"/>
          <w:szCs w:val="20"/>
          <w:highlight w:val="none"/>
          <w:u w:val="none"/>
          <w:lang w:val="en-US" w:eastAsia="zh-CN" w:bidi="ar-SA"/>
          <w14:textFill>
            <w14:solidFill>
              <w14:schemeClr w14:val="tx1"/>
            </w14:solidFill>
          </w14:textFill>
        </w:rPr>
        <w:t>江苏华溯工程项目管理有限公司</w:t>
      </w:r>
      <w:r>
        <w:rPr>
          <w:rFonts w:hint="eastAsia" w:ascii="Times New Roman" w:hAnsi="Times New Roman" w:eastAsia="宋体" w:cs="Times New Roman"/>
          <w:b w:val="0"/>
          <w:bCs/>
          <w:color w:val="000000" w:themeColor="text1"/>
          <w:sz w:val="24"/>
          <w:szCs w:val="20"/>
          <w:highlight w:val="none"/>
          <w:u w:val="none"/>
          <w:lang w:val="en-US" w:eastAsia="zh-CN" w:bidi="ar-SA"/>
          <w14:textFill>
            <w14:solidFill>
              <w14:schemeClr w14:val="tx1"/>
            </w14:solidFill>
          </w14:textFill>
        </w:rPr>
        <w:t xml:space="preserve"> </w:t>
      </w:r>
    </w:p>
    <w:p w14:paraId="4CF5D651">
      <w:pPr>
        <w:pStyle w:val="187"/>
        <w:spacing w:line="460" w:lineRule="exact"/>
        <w:ind w:firstLine="960"/>
        <w:rPr>
          <w:color w:val="000000" w:themeColor="text1"/>
          <w:highlight w:val="none"/>
          <w:u w:val="single"/>
          <w14:textFill>
            <w14:solidFill>
              <w14:schemeClr w14:val="tx1"/>
            </w14:solidFill>
          </w14:textFill>
        </w:rPr>
      </w:pPr>
      <w:r>
        <w:rPr>
          <w:rFonts w:hint="eastAsia"/>
          <w:color w:val="000000" w:themeColor="text1"/>
          <w:highlight w:val="none"/>
          <w:u w:val="single"/>
          <w14:textFill>
            <w14:solidFill>
              <w14:schemeClr w14:val="tx1"/>
            </w14:solidFill>
          </w14:textFill>
        </w:rPr>
        <w:t>（采购人名称）</w:t>
      </w:r>
    </w:p>
    <w:p w14:paraId="0ED3F90B">
      <w:pPr>
        <w:pStyle w:val="187"/>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按照《中华人民共和国政府采购法》第二十二条和磋商文件的规定，我单位郑重声明如下：</w:t>
      </w:r>
    </w:p>
    <w:p w14:paraId="4387C2EB">
      <w:pPr>
        <w:pStyle w:val="187"/>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一、我单位是按照中华人民共和国法律规定登记注册的，注册地点为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，全称为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，统一社会信用代码为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，法定代表人（单位负责人）为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，具有独立承担民事责任的能力</w:t>
      </w:r>
      <w:r>
        <w:rPr>
          <w:rFonts w:hint="eastAsia"/>
          <w:b/>
          <w:color w:val="000000" w:themeColor="text1"/>
          <w:highlight w:val="none"/>
          <w14:textFill>
            <w14:solidFill>
              <w14:schemeClr w14:val="tx1"/>
            </w14:solidFill>
          </w14:textFill>
        </w:rPr>
        <w:t>（如属于分公司经总公司授权参与项目，由总公司承担民事责任的，需提供总公司项目授权书）</w:t>
      </w:r>
      <w:r>
        <w:rPr>
          <w:rFonts w:hint="eastAsia"/>
          <w:color w:val="000000" w:themeColor="text1"/>
          <w:highlight w:val="none"/>
          <w14:textFill>
            <w14:solidFill>
              <w14:schemeClr w14:val="tx1"/>
            </w14:solidFill>
          </w14:textFill>
        </w:rPr>
        <w:t>。</w:t>
      </w:r>
    </w:p>
    <w:p w14:paraId="6043F44A">
      <w:pPr>
        <w:pStyle w:val="187"/>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二、我单位未被“国家企业信用信息系统”列入经营异常名录或者严重违法企业名单。</w:t>
      </w:r>
    </w:p>
    <w:p w14:paraId="194E0411">
      <w:pPr>
        <w:pStyle w:val="187"/>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三、我单位具有良好的商业信誉（指供应商经营状况良好，无本资格声明第十条情形）和健全的财务会计制度。</w:t>
      </w:r>
    </w:p>
    <w:p w14:paraId="3322B46D">
      <w:pPr>
        <w:pStyle w:val="187"/>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四、我单位依法进行纳税和社会保险申报并实际履行了义务。</w:t>
      </w:r>
    </w:p>
    <w:p w14:paraId="3875AB88">
      <w:pPr>
        <w:pStyle w:val="187"/>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五、我单位具有履行本项目采购合同所必需的设备和专业技术能力，并具有履行合同的良好</w:t>
      </w:r>
      <w:r>
        <w:rPr>
          <w:color w:val="000000" w:themeColor="text1"/>
          <w:highlight w:val="none"/>
          <w14:textFill>
            <w14:solidFill>
              <w14:schemeClr w14:val="tx1"/>
            </w14:solidFill>
          </w14:textFill>
        </w:rPr>
        <w:t>记录</w:t>
      </w:r>
      <w:r>
        <w:rPr>
          <w:rFonts w:hint="eastAsia"/>
          <w:color w:val="000000" w:themeColor="text1"/>
          <w:highlight w:val="none"/>
          <w14:textFill>
            <w14:solidFill>
              <w14:schemeClr w14:val="tx1"/>
            </w14:solidFill>
          </w14:textFill>
        </w:rPr>
        <w:t>。为履行本项采购合同我单位具备如下主要设备和主要专业技术能力:</w:t>
      </w:r>
    </w:p>
    <w:p w14:paraId="6440BE30">
      <w:pPr>
        <w:pStyle w:val="187"/>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主要设备有：</w:t>
      </w:r>
      <w:r>
        <w:rPr>
          <w:color w:val="000000" w:themeColor="text1"/>
          <w:highlight w:val="none"/>
          <w:u w:val="single"/>
          <w14:textFill>
            <w14:solidFill>
              <w14:schemeClr w14:val="tx1"/>
            </w14:solidFill>
          </w14:textFill>
        </w:rPr>
        <w:t xml:space="preserve">            </w:t>
      </w:r>
    </w:p>
    <w:p w14:paraId="5D3668E5">
      <w:pPr>
        <w:pStyle w:val="187"/>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主要专业技术能力有</w:t>
      </w:r>
      <w:r>
        <w:rPr>
          <w:rFonts w:hint="eastAsia"/>
          <w:color w:val="000000" w:themeColor="text1"/>
          <w:highlight w:val="none"/>
          <w:u w:val="single"/>
          <w14:textFill>
            <w14:solidFill>
              <w14:schemeClr w14:val="tx1"/>
            </w14:solidFill>
          </w14:textFill>
        </w:rPr>
        <w:t xml:space="preserve">                 </w:t>
      </w:r>
    </w:p>
    <w:p w14:paraId="1892903C">
      <w:pPr>
        <w:pStyle w:val="187"/>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4F28E516">
      <w:pPr>
        <w:pStyle w:val="187"/>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七、我单位具备法律、行政法规规定的其他条件。</w:t>
      </w:r>
    </w:p>
    <w:p w14:paraId="17BAE59A">
      <w:pPr>
        <w:pStyle w:val="187"/>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八、与我单位存在“单位负责人为同一人或者存在直接控股、管理关系”的其他单位信息如下（如无此情形的，填写“无”）：</w:t>
      </w:r>
    </w:p>
    <w:p w14:paraId="6F951571">
      <w:pPr>
        <w:pStyle w:val="187"/>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1、与我单位的法定代表人（单位负责人）为同一人的其他单位如下：</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w:t>
      </w:r>
    </w:p>
    <w:p w14:paraId="122103D6">
      <w:pPr>
        <w:pStyle w:val="187"/>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2、我单位直接控股的其他单位如下：</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w:t>
      </w:r>
    </w:p>
    <w:p w14:paraId="30C01F1A">
      <w:pPr>
        <w:pStyle w:val="187"/>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3、与我单位存在管理关系的其他单位如下：</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w:t>
      </w:r>
    </w:p>
    <w:p w14:paraId="60639AD7">
      <w:pPr>
        <w:pStyle w:val="187"/>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九、</w:t>
      </w:r>
      <w:r>
        <w:rPr>
          <w:color w:val="000000" w:themeColor="text1"/>
          <w:highlight w:val="none"/>
          <w14:textFill>
            <w14:solidFill>
              <w14:schemeClr w14:val="tx1"/>
            </w14:solidFill>
          </w14:textFill>
        </w:rPr>
        <w:t>我</w:t>
      </w:r>
      <w:r>
        <w:rPr>
          <w:rFonts w:hint="eastAsia"/>
          <w:color w:val="000000" w:themeColor="text1"/>
          <w:highlight w:val="none"/>
          <w14:textFill>
            <w14:solidFill>
              <w14:schemeClr w14:val="tx1"/>
            </w14:solidFill>
          </w14:textFill>
        </w:rPr>
        <w:t>单位</w:t>
      </w:r>
      <w:r>
        <w:rPr>
          <w:color w:val="000000" w:themeColor="text1"/>
          <w:highlight w:val="none"/>
          <w14:textFill>
            <w14:solidFill>
              <w14:schemeClr w14:val="tx1"/>
            </w14:solidFill>
          </w14:textFill>
        </w:rPr>
        <w:t>不属于为本项目提供整体设计、规范编制或者项目管理、</w:t>
      </w:r>
      <w:r>
        <w:rPr>
          <w:rFonts w:hint="eastAsia"/>
          <w:color w:val="000000" w:themeColor="text1"/>
          <w:highlight w:val="none"/>
          <w:lang w:eastAsia="zh-CN"/>
          <w14:textFill>
            <w14:solidFill>
              <w14:schemeClr w14:val="tx1"/>
            </w14:solidFill>
          </w14:textFill>
        </w:rPr>
        <w:t>监理（如有）</w:t>
      </w:r>
      <w:r>
        <w:rPr>
          <w:color w:val="000000" w:themeColor="text1"/>
          <w:highlight w:val="none"/>
          <w14:textFill>
            <w14:solidFill>
              <w14:schemeClr w14:val="tx1"/>
            </w14:solidFill>
          </w14:textFill>
        </w:rPr>
        <w:t>、检测等服务的供应商。</w:t>
      </w:r>
    </w:p>
    <w:p w14:paraId="6520178D">
      <w:pPr>
        <w:pStyle w:val="187"/>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十、</w:t>
      </w:r>
      <w:r>
        <w:rPr>
          <w:color w:val="000000" w:themeColor="text1"/>
          <w:highlight w:val="none"/>
          <w14:textFill>
            <w14:solidFill>
              <w14:schemeClr w14:val="tx1"/>
            </w14:solidFill>
          </w14:textFill>
        </w:rPr>
        <w:t>我单位无以下不良信用记录情形：</w:t>
      </w:r>
    </w:p>
    <w:p w14:paraId="35598BF7">
      <w:pPr>
        <w:pStyle w:val="187"/>
        <w:spacing w:line="460" w:lineRule="exact"/>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、在“信用中国”网站被列入失信被执行人和重大税收违法案件当事人名单；</w:t>
      </w:r>
    </w:p>
    <w:p w14:paraId="1C53661F">
      <w:pPr>
        <w:pStyle w:val="187"/>
        <w:spacing w:line="460" w:lineRule="exact"/>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、在“中国政府采购网”网站被列入政府采购严重违法失信行为记录名单；</w:t>
      </w:r>
    </w:p>
    <w:p w14:paraId="0DCC8557">
      <w:pPr>
        <w:pStyle w:val="187"/>
        <w:spacing w:line="460" w:lineRule="exact"/>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不符合《</w:t>
      </w:r>
      <w:r>
        <w:rPr>
          <w:rFonts w:hint="eastAsia"/>
          <w:color w:val="000000" w:themeColor="text1"/>
          <w:highlight w:val="none"/>
          <w:lang w:eastAsia="zh-CN"/>
          <w14:textFill>
            <w14:solidFill>
              <w14:schemeClr w14:val="tx1"/>
            </w14:solidFill>
          </w14:textFill>
        </w:rPr>
        <w:t>中华人民共和国政府采购法</w:t>
      </w:r>
      <w:r>
        <w:rPr>
          <w:color w:val="000000" w:themeColor="text1"/>
          <w:highlight w:val="none"/>
          <w14:textFill>
            <w14:solidFill>
              <w14:schemeClr w14:val="tx1"/>
            </w14:solidFill>
          </w14:textFill>
        </w:rPr>
        <w:t>》第二十二条规定的条件。</w:t>
      </w:r>
    </w:p>
    <w:p w14:paraId="33F5F91A">
      <w:pPr>
        <w:pStyle w:val="187"/>
        <w:spacing w:line="460" w:lineRule="exact"/>
        <w:ind w:firstLine="480"/>
        <w:rPr>
          <w:color w:val="000000" w:themeColor="text1"/>
          <w:highlight w:val="none"/>
          <w14:textFill>
            <w14:solidFill>
              <w14:schemeClr w14:val="tx1"/>
            </w14:solidFill>
          </w14:textFill>
        </w:rPr>
      </w:pPr>
    </w:p>
    <w:p w14:paraId="033726F7">
      <w:pPr>
        <w:pStyle w:val="187"/>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我单位保证上述声明的事项都是真实的，如有虚假，我单位愿意承担相应的法律责任，并承担因此所造成的一切损失。</w:t>
      </w:r>
    </w:p>
    <w:p w14:paraId="5A6654E7">
      <w:pPr>
        <w:pStyle w:val="187"/>
        <w:spacing w:line="460" w:lineRule="exact"/>
        <w:ind w:firstLine="480"/>
        <w:rPr>
          <w:color w:val="000000" w:themeColor="text1"/>
          <w:highlight w:val="none"/>
          <w14:textFill>
            <w14:solidFill>
              <w14:schemeClr w14:val="tx1"/>
            </w14:solidFill>
          </w14:textFill>
        </w:rPr>
      </w:pPr>
    </w:p>
    <w:p w14:paraId="0033035F">
      <w:pPr>
        <w:pStyle w:val="187"/>
        <w:spacing w:line="460" w:lineRule="exact"/>
        <w:ind w:firstLine="480"/>
        <w:rPr>
          <w:color w:val="000000" w:themeColor="text1"/>
          <w:highlight w:val="none"/>
          <w14:textFill>
            <w14:solidFill>
              <w14:schemeClr w14:val="tx1"/>
            </w14:solidFill>
          </w14:textFill>
        </w:rPr>
      </w:pPr>
    </w:p>
    <w:p w14:paraId="3B9F0115">
      <w:pPr>
        <w:pStyle w:val="187"/>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供应商：（加盖公章）</w:t>
      </w:r>
    </w:p>
    <w:p w14:paraId="3E687619">
      <w:pPr>
        <w:pStyle w:val="187"/>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法定代表人（或单位负责人）签字或盖章：</w:t>
      </w:r>
    </w:p>
    <w:p w14:paraId="23273893">
      <w:pPr>
        <w:pStyle w:val="187"/>
        <w:spacing w:line="460" w:lineRule="exact"/>
        <w:ind w:firstLine="492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日期：    年    月    日</w:t>
      </w:r>
    </w:p>
    <w:p w14:paraId="6AD7C4DE">
      <w:pPr>
        <w:spacing w:line="360" w:lineRule="auto"/>
        <w:rPr>
          <w:rFonts w:hint="eastAsia"/>
          <w:color w:val="000000" w:themeColor="text1"/>
          <w:sz w:val="24"/>
          <w:highlight w:val="none"/>
          <w14:textFill>
            <w14:solidFill>
              <w14:schemeClr w14:val="tx1"/>
            </w14:solidFill>
          </w14:textFill>
        </w:rPr>
      </w:pPr>
    </w:p>
    <w:p w14:paraId="426A86DD">
      <w:pPr>
        <w:spacing w:line="360" w:lineRule="auto"/>
        <w:rPr>
          <w:rFonts w:hint="eastAsia"/>
          <w:color w:val="000000" w:themeColor="text1"/>
          <w:sz w:val="24"/>
          <w:highlight w:val="none"/>
          <w14:textFill>
            <w14:solidFill>
              <w14:schemeClr w14:val="tx1"/>
            </w14:solidFill>
          </w14:textFill>
        </w:rPr>
      </w:pPr>
    </w:p>
    <w:p w14:paraId="0DF1C4AC">
      <w:pPr>
        <w:spacing w:line="360" w:lineRule="auto"/>
        <w:rPr>
          <w:rFonts w:hint="eastAsia"/>
          <w:color w:val="000000" w:themeColor="text1"/>
          <w:sz w:val="24"/>
          <w:highlight w:val="none"/>
          <w14:textFill>
            <w14:solidFill>
              <w14:schemeClr w14:val="tx1"/>
            </w14:solidFill>
          </w14:textFill>
        </w:rPr>
      </w:pPr>
    </w:p>
    <w:p w14:paraId="15B14ADD">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说明：</w:t>
      </w:r>
      <w:r>
        <w:rPr>
          <w:rFonts w:hint="eastAsia"/>
          <w:color w:val="000000" w:themeColor="text1"/>
          <w:sz w:val="24"/>
          <w:highlight w:val="none"/>
          <w14:textFill>
            <w14:solidFill>
              <w14:schemeClr w14:val="tx1"/>
            </w14:solidFill>
          </w14:textFill>
        </w:rPr>
        <w:t>供应商承诺不实的，依据《</w:t>
      </w:r>
      <w:r>
        <w:rPr>
          <w:rFonts w:hint="eastAsia"/>
          <w:color w:val="000000" w:themeColor="text1"/>
          <w:sz w:val="24"/>
          <w:highlight w:val="none"/>
          <w:lang w:eastAsia="zh-CN"/>
          <w14:textFill>
            <w14:solidFill>
              <w14:schemeClr w14:val="tx1"/>
            </w14:solidFill>
          </w14:textFill>
        </w:rPr>
        <w:t>中华人民共和国政府采购法</w:t>
      </w:r>
      <w:r>
        <w:rPr>
          <w:rFonts w:hint="eastAsia"/>
          <w:color w:val="000000" w:themeColor="text1"/>
          <w:sz w:val="24"/>
          <w:highlight w:val="none"/>
          <w14:textFill>
            <w14:solidFill>
              <w14:schemeClr w14:val="tx1"/>
            </w14:solidFill>
          </w14:textFill>
        </w:rPr>
        <w:t>》第七十七条“提供虚假材料谋取中标、成交的”有关规定予以处理</w:t>
      </w:r>
      <w:r>
        <w:rPr>
          <w:color w:val="000000" w:themeColor="text1"/>
          <w:sz w:val="24"/>
          <w:highlight w:val="none"/>
          <w14:textFill>
            <w14:solidFill>
              <w14:schemeClr w14:val="tx1"/>
            </w14:solidFill>
          </w14:textFill>
        </w:rPr>
        <w:t>。</w:t>
      </w:r>
    </w:p>
    <w:p w14:paraId="3AB6A11B">
      <w:pPr>
        <w:tabs>
          <w:tab w:val="left" w:pos="5580"/>
        </w:tabs>
        <w:spacing w:line="360" w:lineRule="auto"/>
        <w:rPr>
          <w:color w:val="000000" w:themeColor="text1"/>
          <w:sz w:val="24"/>
          <w:highlight w:val="none"/>
          <w14:textFill>
            <w14:solidFill>
              <w14:schemeClr w14:val="tx1"/>
            </w14:solidFill>
          </w14:textFill>
        </w:rPr>
        <w:sectPr>
          <w:footerReference r:id="rId13" w:type="default"/>
          <w:pgSz w:w="11907" w:h="16840"/>
          <w:pgMar w:top="1418" w:right="1134" w:bottom="1418" w:left="1134" w:header="851" w:footer="851" w:gutter="0"/>
          <w:cols w:space="1701" w:num="1"/>
          <w:docGrid w:linePitch="360" w:charSpace="0"/>
        </w:sectPr>
      </w:pPr>
    </w:p>
    <w:p w14:paraId="7ED6465E">
      <w:pPr>
        <w:spacing w:line="360" w:lineRule="auto"/>
        <w:outlineLvl w:val="2"/>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2 落实政府采购政策需满足的资格要求</w:t>
      </w:r>
    </w:p>
    <w:p w14:paraId="4255E3B8">
      <w:pPr>
        <w:spacing w:line="360" w:lineRule="auto"/>
        <w:outlineLvl w:val="2"/>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2 落实政府采购政策需满足的资格要求</w:t>
      </w:r>
    </w:p>
    <w:p w14:paraId="76FF8F19">
      <w:pPr>
        <w:spacing w:line="360" w:lineRule="auto"/>
        <w:outlineLvl w:val="2"/>
        <w:rPr>
          <w:color w:val="auto"/>
          <w:sz w:val="24"/>
          <w:szCs w:val="21"/>
          <w:highlight w:val="none"/>
        </w:rPr>
      </w:pPr>
      <w:r>
        <w:rPr>
          <w:rFonts w:hint="eastAsia" w:ascii="宋体" w:hAnsi="宋体"/>
          <w:b/>
          <w:color w:val="000000" w:themeColor="text1"/>
          <w:sz w:val="24"/>
          <w:szCs w:val="24"/>
          <w:highlight w:val="none"/>
          <w14:textFill>
            <w14:solidFill>
              <w14:schemeClr w14:val="tx1"/>
            </w14:solidFill>
          </w14:textFill>
        </w:rPr>
        <w:t>2-1中小企业声明函</w:t>
      </w:r>
    </w:p>
    <w:p w14:paraId="50044261">
      <w:pPr>
        <w:jc w:val="left"/>
        <w:rPr>
          <w:color w:val="auto"/>
          <w:sz w:val="24"/>
          <w:szCs w:val="21"/>
          <w:highlight w:val="none"/>
        </w:rPr>
      </w:pPr>
    </w:p>
    <w:p w14:paraId="323B1E68">
      <w:pPr>
        <w:spacing w:before="240" w:after="240" w:line="360" w:lineRule="auto"/>
        <w:jc w:val="center"/>
        <w:rPr>
          <w:b/>
          <w:bCs/>
          <w:color w:val="000000"/>
          <w:sz w:val="36"/>
          <w:szCs w:val="36"/>
          <w:highlight w:val="none"/>
        </w:rPr>
      </w:pPr>
      <w:r>
        <w:rPr>
          <w:rFonts w:hint="eastAsia"/>
          <w:b/>
          <w:bCs/>
          <w:color w:val="000000"/>
          <w:sz w:val="36"/>
          <w:szCs w:val="36"/>
          <w:highlight w:val="none"/>
        </w:rPr>
        <w:t>中小企业声明函（工程、服务）格式</w:t>
      </w:r>
    </w:p>
    <w:p w14:paraId="433B2712">
      <w:pPr>
        <w:spacing w:line="360" w:lineRule="auto"/>
        <w:ind w:firstLine="504"/>
        <w:rPr>
          <w:spacing w:val="6"/>
          <w:sz w:val="24"/>
          <w:highlight w:val="none"/>
        </w:rPr>
      </w:pPr>
      <w:r>
        <w:rPr>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025D079">
      <w:pPr>
        <w:spacing w:line="360" w:lineRule="auto"/>
        <w:ind w:firstLine="504"/>
        <w:rPr>
          <w:spacing w:val="6"/>
          <w:sz w:val="24"/>
          <w:highlight w:val="none"/>
        </w:rPr>
      </w:pPr>
      <w:r>
        <w:rPr>
          <w:spacing w:val="6"/>
          <w:sz w:val="24"/>
          <w:highlight w:val="none"/>
        </w:rPr>
        <w:t>1.</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，从业人员______人，营业收入为______万元，资产总额为______万元</w:t>
      </w:r>
      <w:r>
        <w:rPr>
          <w:spacing w:val="6"/>
          <w:sz w:val="24"/>
          <w:highlight w:val="none"/>
          <w:vertAlign w:val="superscript"/>
        </w:rPr>
        <w:t>1</w:t>
      </w:r>
      <w:r>
        <w:rPr>
          <w:spacing w:val="6"/>
          <w:sz w:val="24"/>
          <w:highlight w:val="none"/>
        </w:rPr>
        <w:t>，属于（中型企业、小型企业、微型企业）；</w:t>
      </w:r>
    </w:p>
    <w:p w14:paraId="5FA474E2">
      <w:pPr>
        <w:spacing w:line="360" w:lineRule="auto"/>
        <w:ind w:firstLine="504"/>
        <w:rPr>
          <w:spacing w:val="6"/>
          <w:sz w:val="24"/>
          <w:highlight w:val="none"/>
        </w:rPr>
      </w:pPr>
      <w:r>
        <w:rPr>
          <w:spacing w:val="6"/>
          <w:sz w:val="24"/>
          <w:highlight w:val="none"/>
        </w:rPr>
        <w:t>2.</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，从业人员______人，营业收入为______万元，资产总额为______万元，属于</w:t>
      </w:r>
      <w:r>
        <w:rPr>
          <w:spacing w:val="6"/>
          <w:sz w:val="24"/>
          <w:highlight w:val="none"/>
          <w:u w:val="single"/>
        </w:rPr>
        <w:t>（中型企业、小型企业、微型企业）</w:t>
      </w:r>
      <w:r>
        <w:rPr>
          <w:spacing w:val="6"/>
          <w:sz w:val="24"/>
          <w:highlight w:val="none"/>
        </w:rPr>
        <w:t>；</w:t>
      </w:r>
    </w:p>
    <w:p w14:paraId="034CEFF2">
      <w:pPr>
        <w:spacing w:line="360" w:lineRule="auto"/>
        <w:ind w:firstLine="504"/>
        <w:rPr>
          <w:spacing w:val="6"/>
          <w:sz w:val="24"/>
          <w:highlight w:val="none"/>
        </w:rPr>
      </w:pPr>
    </w:p>
    <w:p w14:paraId="7BE2A592">
      <w:pPr>
        <w:spacing w:line="360" w:lineRule="auto"/>
        <w:ind w:firstLine="504"/>
        <w:rPr>
          <w:spacing w:val="6"/>
          <w:sz w:val="24"/>
          <w:highlight w:val="none"/>
        </w:rPr>
      </w:pPr>
      <w:r>
        <w:rPr>
          <w:spacing w:val="6"/>
          <w:sz w:val="24"/>
          <w:highlight w:val="none"/>
        </w:rPr>
        <w:t>……</w:t>
      </w:r>
    </w:p>
    <w:p w14:paraId="545A3944">
      <w:pPr>
        <w:spacing w:line="360" w:lineRule="auto"/>
        <w:ind w:firstLine="504"/>
        <w:rPr>
          <w:spacing w:val="6"/>
          <w:sz w:val="24"/>
          <w:highlight w:val="none"/>
        </w:rPr>
      </w:pPr>
      <w:r>
        <w:rPr>
          <w:spacing w:val="6"/>
          <w:sz w:val="24"/>
          <w:highlight w:val="none"/>
        </w:rPr>
        <w:t>以上企业，不属于大企业的分支机构，不存在控股股东为大企业的情形，也不存在与大企业的负责人为同一人的情形。</w:t>
      </w:r>
    </w:p>
    <w:p w14:paraId="64CAAA29">
      <w:pPr>
        <w:spacing w:line="360" w:lineRule="auto"/>
        <w:ind w:firstLine="504"/>
        <w:rPr>
          <w:spacing w:val="6"/>
          <w:sz w:val="24"/>
          <w:highlight w:val="none"/>
        </w:rPr>
      </w:pPr>
      <w:r>
        <w:rPr>
          <w:spacing w:val="6"/>
          <w:sz w:val="24"/>
          <w:highlight w:val="none"/>
        </w:rPr>
        <w:t>本企业对上述声明内容的真实性负责。如有虚假，将依法承担相应责任。</w:t>
      </w:r>
    </w:p>
    <w:p w14:paraId="0B394D64">
      <w:pPr>
        <w:spacing w:line="360" w:lineRule="auto"/>
        <w:ind w:right="360" w:firstLine="480"/>
        <w:jc w:val="right"/>
        <w:rPr>
          <w:color w:val="000000"/>
          <w:sz w:val="24"/>
          <w:highlight w:val="none"/>
        </w:rPr>
      </w:pPr>
    </w:p>
    <w:p w14:paraId="1071B824">
      <w:pPr>
        <w:spacing w:line="360" w:lineRule="auto"/>
        <w:ind w:right="360" w:firstLine="480"/>
        <w:jc w:val="right"/>
        <w:rPr>
          <w:color w:val="000000"/>
          <w:sz w:val="24"/>
          <w:highlight w:val="none"/>
        </w:rPr>
      </w:pPr>
      <w:r>
        <w:rPr>
          <w:color w:val="000000"/>
          <w:sz w:val="24"/>
          <w:highlight w:val="none"/>
        </w:rPr>
        <w:t>企业名称（加盖公章）：________</w:t>
      </w:r>
    </w:p>
    <w:p w14:paraId="7DAA1354">
      <w:pPr>
        <w:spacing w:line="360" w:lineRule="auto"/>
        <w:ind w:right="360" w:firstLine="480"/>
        <w:jc w:val="right"/>
        <w:rPr>
          <w:color w:val="000000"/>
          <w:sz w:val="24"/>
          <w:highlight w:val="none"/>
        </w:rPr>
      </w:pPr>
      <w:r>
        <w:rPr>
          <w:color w:val="000000"/>
          <w:sz w:val="24"/>
          <w:highlight w:val="none"/>
        </w:rPr>
        <w:t>日 期：________</w:t>
      </w:r>
    </w:p>
    <w:p w14:paraId="75C3D1EA">
      <w:pPr>
        <w:rPr>
          <w:color w:val="000000" w:themeColor="text1"/>
          <w:highlight w:val="none"/>
          <w14:textFill>
            <w14:solidFill>
              <w14:schemeClr w14:val="tx1"/>
            </w14:solidFill>
          </w14:textFill>
        </w:rPr>
      </w:pPr>
    </w:p>
    <w:p w14:paraId="622C2EE6">
      <w:pPr>
        <w:spacing w:before="240" w:after="240" w:line="360" w:lineRule="auto"/>
        <w:jc w:val="center"/>
        <w:rPr>
          <w:color w:val="000000" w:themeColor="text1"/>
          <w:sz w:val="36"/>
          <w:szCs w:val="36"/>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b/>
          <w:bCs/>
          <w:color w:val="000000" w:themeColor="text1"/>
          <w:sz w:val="36"/>
          <w:szCs w:val="36"/>
          <w:highlight w:val="none"/>
          <w14:textFill>
            <w14:solidFill>
              <w14:schemeClr w14:val="tx1"/>
            </w14:solidFill>
          </w14:textFill>
        </w:rPr>
        <w:t>残疾人福利性单位声明函格式</w:t>
      </w:r>
      <w:r>
        <w:rPr>
          <w:color w:val="000000" w:themeColor="text1"/>
          <w:sz w:val="36"/>
          <w:szCs w:val="36"/>
          <w:highlight w:val="none"/>
          <w14:textFill>
            <w14:solidFill>
              <w14:schemeClr w14:val="tx1"/>
            </w14:solidFill>
          </w14:textFill>
        </w:rPr>
        <w:t xml:space="preserve"> </w:t>
      </w:r>
    </w:p>
    <w:p w14:paraId="11A1A6E0">
      <w:pPr>
        <w:spacing w:line="588" w:lineRule="exact"/>
        <w:ind w:firstLine="504"/>
        <w:rPr>
          <w:rFonts w:ascii="宋体" w:hAnsi="宋体"/>
          <w:color w:val="000000" w:themeColor="text1"/>
          <w:spacing w:val="6"/>
          <w:sz w:val="24"/>
          <w:szCs w:val="24"/>
          <w:highlight w:val="none"/>
          <w14:textFill>
            <w14:solidFill>
              <w14:schemeClr w14:val="tx1"/>
            </w14:solidFill>
          </w14:textFill>
        </w:rPr>
      </w:pPr>
      <w:r>
        <w:rPr>
          <w:rFonts w:ascii="宋体" w:hAnsi="宋体"/>
          <w:color w:val="000000" w:themeColor="text1"/>
          <w:spacing w:val="6"/>
          <w:sz w:val="24"/>
          <w:szCs w:val="24"/>
          <w:highlight w:val="none"/>
          <w14:textFill>
            <w14:solidFill>
              <w14:schemeClr w14:val="tx1"/>
            </w14:solidFill>
          </w14:textFill>
        </w:rPr>
        <w:t>本单位郑重声明，根据《财政部 民政部 中国残疾人联合会关于促进残疾人就业政府采购政策的通知》（财库</w:t>
      </w:r>
      <w:r>
        <w:rPr>
          <w:rFonts w:ascii="宋体" w:hAnsi="宋体"/>
          <w:color w:val="000000" w:themeColor="text1"/>
          <w:sz w:val="24"/>
          <w:szCs w:val="24"/>
          <w:highlight w:val="none"/>
          <w14:textFill>
            <w14:solidFill>
              <w14:schemeClr w14:val="tx1"/>
            </w14:solidFill>
          </w14:textFill>
        </w:rPr>
        <w:t>〔2017〕141</w:t>
      </w:r>
      <w:r>
        <w:rPr>
          <w:rFonts w:ascii="宋体" w:hAnsi="宋体"/>
          <w:color w:val="000000" w:themeColor="text1"/>
          <w:spacing w:val="6"/>
          <w:sz w:val="24"/>
          <w:szCs w:val="24"/>
          <w:highlight w:val="none"/>
          <w14:textFill>
            <w14:solidFill>
              <w14:schemeClr w14:val="tx1"/>
            </w14:solidFill>
          </w14:textFill>
        </w:rPr>
        <w:t>号）的规定，本单位</w:t>
      </w:r>
      <w:r>
        <w:rPr>
          <w:rFonts w:ascii="宋体" w:hAnsi="宋体"/>
          <w:b/>
          <w:color w:val="000000" w:themeColor="text1"/>
          <w:sz w:val="24"/>
          <w:szCs w:val="24"/>
          <w:highlight w:val="none"/>
          <w14:textFill>
            <w14:solidFill>
              <w14:schemeClr w14:val="tx1"/>
            </w14:solidFill>
          </w14:textFill>
        </w:rPr>
        <w:t>（请进行勾选）</w:t>
      </w:r>
      <w:r>
        <w:rPr>
          <w:rFonts w:ascii="宋体" w:hAnsi="宋体"/>
          <w:color w:val="000000" w:themeColor="text1"/>
          <w:spacing w:val="6"/>
          <w:sz w:val="24"/>
          <w:szCs w:val="24"/>
          <w:highlight w:val="none"/>
          <w14:textFill>
            <w14:solidFill>
              <w14:schemeClr w14:val="tx1"/>
            </w14:solidFill>
          </w14:textFill>
        </w:rPr>
        <w:t>：</w:t>
      </w:r>
    </w:p>
    <w:p w14:paraId="6A481CBA">
      <w:pPr>
        <w:spacing w:line="588" w:lineRule="exact"/>
        <w:ind w:firstLine="482"/>
        <w:rPr>
          <w:rFonts w:ascii="宋体" w:hAnsi="宋体"/>
          <w:b/>
          <w:color w:val="000000" w:themeColor="text1"/>
          <w:spacing w:val="6"/>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w:t>
      </w:r>
      <w:r>
        <w:rPr>
          <w:rFonts w:ascii="宋体" w:hAnsi="宋体"/>
          <w:b/>
          <w:color w:val="000000" w:themeColor="text1"/>
          <w:spacing w:val="6"/>
          <w:sz w:val="24"/>
          <w:szCs w:val="24"/>
          <w:highlight w:val="none"/>
          <w14:textFill>
            <w14:solidFill>
              <w14:schemeClr w14:val="tx1"/>
            </w14:solidFill>
          </w14:textFill>
        </w:rPr>
        <w:t>不属于符合条件的残疾人福利性单位。</w:t>
      </w:r>
    </w:p>
    <w:p w14:paraId="551F609D">
      <w:pPr>
        <w:spacing w:line="588" w:lineRule="exact"/>
        <w:ind w:firstLine="482"/>
        <w:rPr>
          <w:rFonts w:ascii="宋体" w:hAnsi="宋体"/>
          <w:color w:val="000000" w:themeColor="text1"/>
          <w:spacing w:val="6"/>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w:t>
      </w:r>
      <w:r>
        <w:rPr>
          <w:rFonts w:ascii="宋体" w:hAnsi="宋体"/>
          <w:b/>
          <w:color w:val="000000" w:themeColor="text1"/>
          <w:spacing w:val="6"/>
          <w:sz w:val="24"/>
          <w:szCs w:val="24"/>
          <w:highlight w:val="none"/>
          <w14:textFill>
            <w14:solidFill>
              <w14:schemeClr w14:val="tx1"/>
            </w14:solidFill>
          </w14:textFill>
        </w:rPr>
        <w:t>属于符合条件的残疾人福利性单位，</w:t>
      </w:r>
      <w:r>
        <w:rPr>
          <w:rFonts w:ascii="宋体" w:hAnsi="宋体"/>
          <w:color w:val="000000" w:themeColor="text1"/>
          <w:spacing w:val="6"/>
          <w:sz w:val="24"/>
          <w:szCs w:val="24"/>
          <w:highlight w:val="none"/>
          <w14:textFill>
            <w14:solidFill>
              <w14:schemeClr w14:val="tx1"/>
            </w14:solidFill>
          </w14:textFill>
        </w:rPr>
        <w:t>且本单位参加______单位的______项目采购活动提供本单位制造的货物（由本单位承担工程/提供服务），或者提供其他残疾人福利性单位制造的货物（不包括使用非残疾人福利性单位注册商标的货物）。</w:t>
      </w:r>
    </w:p>
    <w:p w14:paraId="12AD4BDC">
      <w:pPr>
        <w:spacing w:line="588" w:lineRule="exact"/>
        <w:ind w:firstLine="446"/>
        <w:rPr>
          <w:rFonts w:ascii="宋体" w:hAnsi="宋体"/>
          <w:color w:val="000000" w:themeColor="text1"/>
          <w:spacing w:val="6"/>
          <w:sz w:val="24"/>
          <w:szCs w:val="24"/>
          <w:highlight w:val="none"/>
          <w14:textFill>
            <w14:solidFill>
              <w14:schemeClr w14:val="tx1"/>
            </w14:solidFill>
          </w14:textFill>
        </w:rPr>
      </w:pPr>
      <w:r>
        <w:rPr>
          <w:rFonts w:ascii="宋体" w:hAnsi="宋体"/>
          <w:b/>
          <w:color w:val="000000" w:themeColor="text1"/>
          <w:spacing w:val="6"/>
          <w:sz w:val="24"/>
          <w:szCs w:val="24"/>
          <w:highlight w:val="none"/>
          <w14:textFill>
            <w14:solidFill>
              <w14:schemeClr w14:val="tx1"/>
            </w14:solidFill>
          </w14:textFill>
        </w:rPr>
        <w:t>本单位对上述声明的真实性负责。如有虚假，将依法承担相应责任。</w:t>
      </w:r>
    </w:p>
    <w:p w14:paraId="6BF6AE20">
      <w:pPr>
        <w:spacing w:line="588" w:lineRule="exact"/>
        <w:ind w:firstLine="444"/>
        <w:rPr>
          <w:color w:val="000000" w:themeColor="text1"/>
          <w:spacing w:val="6"/>
          <w:sz w:val="24"/>
          <w:szCs w:val="24"/>
          <w:highlight w:val="none"/>
          <w14:textFill>
            <w14:solidFill>
              <w14:schemeClr w14:val="tx1"/>
            </w14:solidFill>
          </w14:textFill>
        </w:rPr>
      </w:pPr>
    </w:p>
    <w:p w14:paraId="3D9DA0DF">
      <w:pPr>
        <w:spacing w:line="588" w:lineRule="exact"/>
        <w:ind w:firstLine="444"/>
        <w:rPr>
          <w:color w:val="000000" w:themeColor="text1"/>
          <w:spacing w:val="6"/>
          <w:sz w:val="24"/>
          <w:szCs w:val="24"/>
          <w:highlight w:val="none"/>
          <w14:textFill>
            <w14:solidFill>
              <w14:schemeClr w14:val="tx1"/>
            </w14:solidFill>
          </w14:textFill>
        </w:rPr>
      </w:pPr>
    </w:p>
    <w:p w14:paraId="573E8FC3">
      <w:pPr>
        <w:tabs>
          <w:tab w:val="left" w:pos="4860"/>
        </w:tabs>
        <w:spacing w:line="588" w:lineRule="exact"/>
        <w:ind w:right="1560" w:firstLine="444"/>
        <w:jc w:val="center"/>
        <w:rPr>
          <w:color w:val="000000" w:themeColor="text1"/>
          <w:spacing w:val="6"/>
          <w:sz w:val="24"/>
          <w:szCs w:val="24"/>
          <w:highlight w:val="none"/>
          <w14:textFill>
            <w14:solidFill>
              <w14:schemeClr w14:val="tx1"/>
            </w14:solidFill>
          </w14:textFill>
        </w:rPr>
      </w:pPr>
      <w:r>
        <w:rPr>
          <w:color w:val="000000" w:themeColor="text1"/>
          <w:spacing w:val="6"/>
          <w:sz w:val="24"/>
          <w:szCs w:val="24"/>
          <w:highlight w:val="none"/>
          <w14:textFill>
            <w14:solidFill>
              <w14:schemeClr w14:val="tx1"/>
            </w14:solidFill>
          </w14:textFill>
        </w:rPr>
        <w:t xml:space="preserve">               单位名称（加盖公章）：</w:t>
      </w:r>
    </w:p>
    <w:p w14:paraId="246DF64B">
      <w:pPr>
        <w:tabs>
          <w:tab w:val="left" w:pos="4860"/>
        </w:tabs>
        <w:spacing w:line="588" w:lineRule="exact"/>
        <w:ind w:right="1560" w:firstLine="444"/>
        <w:jc w:val="center"/>
        <w:rPr>
          <w:color w:val="000000" w:themeColor="text1"/>
          <w:spacing w:val="6"/>
          <w:sz w:val="24"/>
          <w:szCs w:val="24"/>
          <w:highlight w:val="none"/>
          <w14:textFill>
            <w14:solidFill>
              <w14:schemeClr w14:val="tx1"/>
            </w14:solidFill>
          </w14:textFill>
        </w:rPr>
      </w:pPr>
      <w:r>
        <w:rPr>
          <w:color w:val="000000" w:themeColor="text1"/>
          <w:spacing w:val="6"/>
          <w:sz w:val="24"/>
          <w:szCs w:val="24"/>
          <w:highlight w:val="none"/>
          <w14:textFill>
            <w14:solidFill>
              <w14:schemeClr w14:val="tx1"/>
            </w14:solidFill>
          </w14:textFill>
        </w:rPr>
        <w:t xml:space="preserve">       日  期：</w:t>
      </w:r>
    </w:p>
    <w:p w14:paraId="2A0E10DA">
      <w:pPr>
        <w:spacing w:line="240" w:lineRule="auto"/>
        <w:outlineLvl w:val="2"/>
        <w:rPr>
          <w:color w:val="000000" w:themeColor="text1"/>
          <w:sz w:val="24"/>
          <w:szCs w:val="24"/>
          <w:highlight w:val="none"/>
          <w14:textFill>
            <w14:solidFill>
              <w14:schemeClr w14:val="tx1"/>
            </w14:solidFill>
          </w14:textFill>
        </w:rPr>
      </w:pPr>
    </w:p>
    <w:p w14:paraId="5078FE69">
      <w:pPr>
        <w:widowControl/>
        <w:spacing w:line="240" w:lineRule="auto"/>
        <w:jc w:val="left"/>
        <w:rPr>
          <w:color w:val="000000" w:themeColor="text1"/>
          <w:sz w:val="24"/>
          <w:szCs w:val="20"/>
          <w:highlight w:val="none"/>
          <w14:textFill>
            <w14:solidFill>
              <w14:schemeClr w14:val="tx1"/>
            </w14:solidFill>
          </w14:textFill>
        </w:rPr>
        <w:sectPr>
          <w:pgSz w:w="11907" w:h="16840"/>
          <w:pgMar w:top="1417" w:right="1134" w:bottom="1417" w:left="1134" w:header="851" w:footer="851" w:gutter="0"/>
          <w:cols w:space="1701" w:num="1"/>
          <w:docGrid w:linePitch="360" w:charSpace="0"/>
        </w:sectPr>
      </w:pPr>
    </w:p>
    <w:p w14:paraId="567CB5AE">
      <w:pPr>
        <w:widowControl/>
        <w:spacing w:line="240" w:lineRule="auto"/>
        <w:jc w:val="left"/>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2-3</w:t>
      </w:r>
      <w:r>
        <w:rPr>
          <w:color w:val="000000" w:themeColor="text1"/>
          <w:sz w:val="24"/>
          <w:highlight w:val="none"/>
          <w14:textFill>
            <w14:solidFill>
              <w14:schemeClr w14:val="tx1"/>
            </w14:solidFill>
          </w14:textFill>
        </w:rPr>
        <w:t>其它落实政府采购政策的资格要求</w:t>
      </w:r>
      <w:r>
        <w:rPr>
          <w:color w:val="000000" w:themeColor="text1"/>
          <w:sz w:val="24"/>
          <w:szCs w:val="20"/>
          <w:highlight w:val="none"/>
          <w14:textFill>
            <w14:solidFill>
              <w14:schemeClr w14:val="tx1"/>
            </w14:solidFill>
          </w14:textFill>
        </w:rPr>
        <w:t>（如有）</w:t>
      </w:r>
    </w:p>
    <w:p w14:paraId="567D9124">
      <w:pPr>
        <w:widowControl/>
        <w:spacing w:line="240" w:lineRule="auto"/>
        <w:jc w:val="left"/>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3 </w:t>
      </w:r>
      <w:r>
        <w:rPr>
          <w:color w:val="000000" w:themeColor="text1"/>
          <w:sz w:val="24"/>
          <w:highlight w:val="none"/>
          <w14:textFill>
            <w14:solidFill>
              <w14:schemeClr w14:val="tx1"/>
            </w14:solidFill>
          </w14:textFill>
        </w:rPr>
        <w:t>本项目的特定资格要求</w:t>
      </w:r>
    </w:p>
    <w:p w14:paraId="7D90C4DC">
      <w:pPr>
        <w:spacing w:line="360" w:lineRule="auto"/>
        <w:outlineLvl w:val="2"/>
        <w:rPr>
          <w:rFonts w:hint="default" w:ascii="Times New Roman" w:hAnsi="Times New Roman" w:eastAsia="宋体" w:cs="Times New Roman"/>
          <w:color w:val="000000"/>
          <w:sz w:val="24"/>
          <w:szCs w:val="20"/>
          <w:highlight w:val="none"/>
        </w:rPr>
      </w:pPr>
      <w:bookmarkStart w:id="727" w:name="_Toc150774762"/>
      <w:bookmarkStart w:id="728" w:name="_Toc142311059"/>
      <w:bookmarkStart w:id="729" w:name="_Toc480942350"/>
      <w:bookmarkStart w:id="730" w:name="_Toc265228395"/>
      <w:bookmarkStart w:id="731" w:name="_Toc226337253"/>
      <w:bookmarkStart w:id="732" w:name="_Toc305158899"/>
      <w:bookmarkStart w:id="733" w:name="_Toc305158825"/>
      <w:bookmarkStart w:id="734" w:name="_Toc226965747"/>
      <w:bookmarkStart w:id="735" w:name="_Toc520356218"/>
      <w:bookmarkStart w:id="736" w:name="_Toc127151557"/>
      <w:bookmarkStart w:id="737" w:name="_Toc264969247"/>
      <w:bookmarkStart w:id="738" w:name="_Toc226965830"/>
      <w:bookmarkStart w:id="739" w:name="_Toc195842922"/>
      <w:bookmarkStart w:id="740" w:name="_Ref467988705"/>
      <w:bookmarkStart w:id="741" w:name="_Toc150480795"/>
      <w:bookmarkStart w:id="742" w:name="_Toc226309801"/>
      <w:r>
        <w:rPr>
          <w:rFonts w:hint="default" w:ascii="Times New Roman" w:hAnsi="Times New Roman" w:eastAsia="宋体" w:cs="Times New Roman"/>
          <w:color w:val="000000"/>
          <w:sz w:val="24"/>
          <w:szCs w:val="20"/>
          <w:highlight w:val="none"/>
        </w:rPr>
        <w:t>3-1联合协议（如有）（实质性格式）</w:t>
      </w:r>
    </w:p>
    <w:p w14:paraId="56A28BDA">
      <w:pPr>
        <w:rPr>
          <w:rFonts w:hint="eastAsia"/>
          <w:color w:val="000000" w:themeColor="text1"/>
          <w:sz w:val="24"/>
          <w:highlight w:val="none"/>
          <w14:textFill>
            <w14:solidFill>
              <w14:schemeClr w14:val="tx1"/>
            </w14:solidFill>
          </w14:textFill>
        </w:rPr>
      </w:pPr>
    </w:p>
    <w:p w14:paraId="7885BC7F">
      <w:pPr>
        <w:keepNext w:val="0"/>
        <w:keepLines w:val="0"/>
        <w:pageBreakBefore w:val="0"/>
        <w:widowControl w:val="0"/>
        <w:spacing w:line="240" w:lineRule="auto"/>
        <w:ind w:firstLine="480"/>
        <w:outlineLvl w:val="2"/>
        <w:rPr>
          <w:color w:val="000000" w:themeColor="text1"/>
          <w:sz w:val="24"/>
          <w:szCs w:val="20"/>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w:t>
      </w:r>
      <w:r>
        <w:rPr>
          <w:color w:val="000000" w:themeColor="text1"/>
          <w:sz w:val="24"/>
          <w:szCs w:val="20"/>
          <w:highlight w:val="none"/>
          <w14:textFill>
            <w14:solidFill>
              <w14:schemeClr w14:val="tx1"/>
            </w14:solidFill>
          </w14:textFill>
        </w:rPr>
        <w:t xml:space="preserve">  </w:t>
      </w:r>
      <w:r>
        <w:rPr>
          <w:color w:val="000000" w:themeColor="text1"/>
          <w:sz w:val="24"/>
          <w:highlight w:val="none"/>
          <w14:textFill>
            <w14:solidFill>
              <w14:schemeClr w14:val="tx1"/>
            </w14:solidFill>
          </w14:textFill>
        </w:rPr>
        <w:t>响应</w:t>
      </w:r>
      <w:r>
        <w:rPr>
          <w:rFonts w:hint="eastAsia"/>
          <w:color w:val="000000" w:themeColor="text1"/>
          <w:sz w:val="24"/>
          <w:highlight w:val="none"/>
          <w14:textFill>
            <w14:solidFill>
              <w14:schemeClr w14:val="tx1"/>
            </w14:solidFill>
          </w14:textFill>
        </w:rPr>
        <w:t>函</w:t>
      </w:r>
      <w:r>
        <w:rPr>
          <w:color w:val="000000" w:themeColor="text1"/>
          <w:sz w:val="24"/>
          <w:szCs w:val="20"/>
          <w:highlight w:val="none"/>
          <w14:textFill>
            <w14:solidFill>
              <w14:schemeClr w14:val="tx1"/>
            </w14:solidFill>
          </w14:textFill>
        </w:rPr>
        <w:t>（实质性格式）</w:t>
      </w:r>
    </w:p>
    <w:p w14:paraId="75767AAA">
      <w:pPr>
        <w:tabs>
          <w:tab w:val="left" w:pos="5580"/>
        </w:tabs>
        <w:spacing w:line="360" w:lineRule="auto"/>
        <w:rPr>
          <w:color w:val="000000" w:themeColor="text1"/>
          <w:sz w:val="24"/>
          <w:highlight w:val="none"/>
          <w14:textFill>
            <w14:solidFill>
              <w14:schemeClr w14:val="tx1"/>
            </w14:solidFill>
          </w14:textFill>
        </w:rPr>
      </w:pPr>
    </w:p>
    <w:p w14:paraId="360EEEF6">
      <w:pPr>
        <w:spacing w:line="360" w:lineRule="auto"/>
        <w:jc w:val="center"/>
        <w:rPr>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响应函</w:t>
      </w:r>
    </w:p>
    <w:p w14:paraId="03EEBF12">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致：</w:t>
      </w:r>
      <w:r>
        <w:rPr>
          <w:color w:val="000000" w:themeColor="text1"/>
          <w:sz w:val="24"/>
          <w:highlight w:val="none"/>
          <w:u w:val="single"/>
          <w14:textFill>
            <w14:solidFill>
              <w14:schemeClr w14:val="tx1"/>
            </w14:solidFill>
          </w14:textFill>
        </w:rPr>
        <w:t>（采购人或采购代理机构）</w:t>
      </w:r>
    </w:p>
    <w:p w14:paraId="2DED4197">
      <w:pPr>
        <w:tabs>
          <w:tab w:val="left" w:pos="5580"/>
        </w:tabs>
        <w:spacing w:line="360" w:lineRule="auto"/>
        <w:rPr>
          <w:color w:val="000000" w:themeColor="text1"/>
          <w:sz w:val="24"/>
          <w:szCs w:val="20"/>
          <w:highlight w:val="none"/>
          <w14:textFill>
            <w14:solidFill>
              <w14:schemeClr w14:val="tx1"/>
            </w14:solidFill>
          </w14:textFill>
        </w:rPr>
      </w:pPr>
    </w:p>
    <w:p w14:paraId="4175E9B7">
      <w:pPr>
        <w:tabs>
          <w:tab w:val="left" w:pos="5580"/>
        </w:tabs>
        <w:spacing w:line="360" w:lineRule="auto"/>
        <w:ind w:firstLine="408"/>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我方参加你方就___________（项目名称，项目编号/包号）组织的</w:t>
      </w:r>
      <w:r>
        <w:rPr>
          <w:rFonts w:hint="eastAsia"/>
          <w:color w:val="000000" w:themeColor="text1"/>
          <w:sz w:val="24"/>
          <w:szCs w:val="20"/>
          <w:highlight w:val="none"/>
          <w14:textFill>
            <w14:solidFill>
              <w14:schemeClr w14:val="tx1"/>
            </w14:solidFill>
          </w14:textFill>
        </w:rPr>
        <w:t>政府采购</w:t>
      </w:r>
      <w:r>
        <w:rPr>
          <w:color w:val="000000" w:themeColor="text1"/>
          <w:sz w:val="24"/>
          <w:szCs w:val="20"/>
          <w:highlight w:val="none"/>
          <w14:textFill>
            <w14:solidFill>
              <w14:schemeClr w14:val="tx1"/>
            </w14:solidFill>
          </w14:textFill>
        </w:rPr>
        <w:t>活动，并对此项目进行响应。</w:t>
      </w:r>
    </w:p>
    <w:p w14:paraId="3B247746">
      <w:pPr>
        <w:tabs>
          <w:tab w:val="left" w:pos="5580"/>
        </w:tabs>
        <w:spacing w:line="360" w:lineRule="auto"/>
        <w:ind w:firstLine="408"/>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1. 我方</w:t>
      </w:r>
      <w:r>
        <w:rPr>
          <w:color w:val="000000" w:themeColor="text1"/>
          <w:sz w:val="24"/>
          <w:highlight w:val="none"/>
          <w14:textFill>
            <w14:solidFill>
              <w14:schemeClr w14:val="tx1"/>
            </w14:solidFill>
          </w14:textFill>
        </w:rPr>
        <w:t>已详细审查全部磋商文件</w:t>
      </w:r>
      <w:r>
        <w:rPr>
          <w:color w:val="000000" w:themeColor="text1"/>
          <w:sz w:val="24"/>
          <w:szCs w:val="20"/>
          <w:highlight w:val="none"/>
          <w14:textFill>
            <w14:solidFill>
              <w14:schemeClr w14:val="tx1"/>
            </w14:solidFill>
          </w14:textFill>
        </w:rPr>
        <w:t>，自愿参与响应并承诺如下：</w:t>
      </w:r>
    </w:p>
    <w:p w14:paraId="2B425143">
      <w:pPr>
        <w:tabs>
          <w:tab w:val="left" w:pos="720"/>
          <w:tab w:val="left" w:pos="900"/>
        </w:tabs>
        <w:spacing w:line="360" w:lineRule="auto"/>
        <w:ind w:left="360" w:firstLine="72"/>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（1）本响应有效期为自提交响应文件的截止之日起</w:t>
      </w:r>
      <w:r>
        <w:rPr>
          <w:rFonts w:hint="eastAsia"/>
          <w:color w:val="000000" w:themeColor="text1"/>
          <w:sz w:val="24"/>
          <w:highlight w:val="none"/>
          <w14:textFill>
            <w14:solidFill>
              <w14:schemeClr w14:val="tx1"/>
            </w14:solidFill>
          </w14:textFill>
        </w:rPr>
        <w:t>60</w:t>
      </w:r>
      <w:r>
        <w:rPr>
          <w:color w:val="000000" w:themeColor="text1"/>
          <w:sz w:val="24"/>
          <w:szCs w:val="20"/>
          <w:highlight w:val="none"/>
          <w14:textFill>
            <w14:solidFill>
              <w14:schemeClr w14:val="tx1"/>
            </w14:solidFill>
          </w14:textFill>
        </w:rPr>
        <w:t>个日历日。</w:t>
      </w:r>
    </w:p>
    <w:p w14:paraId="0EF6F2D3">
      <w:pPr>
        <w:tabs>
          <w:tab w:val="left" w:pos="720"/>
          <w:tab w:val="left" w:pos="900"/>
        </w:tabs>
        <w:spacing w:line="360" w:lineRule="auto"/>
        <w:ind w:left="360" w:firstLine="72"/>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（2）除合同条款及采购需求偏离表列出的偏离外，我方响应磋商文件的全部要求。</w:t>
      </w:r>
    </w:p>
    <w:p w14:paraId="3C447409">
      <w:pPr>
        <w:tabs>
          <w:tab w:val="left" w:pos="5580"/>
        </w:tabs>
        <w:spacing w:line="360" w:lineRule="auto"/>
        <w:ind w:firstLine="42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（3）我方已提供的全部文件资料是真实、准确的，并对此承担一切法律后果。</w:t>
      </w:r>
    </w:p>
    <w:p w14:paraId="6041F60F">
      <w:pPr>
        <w:tabs>
          <w:tab w:val="left" w:pos="5580"/>
        </w:tabs>
        <w:spacing w:line="360" w:lineRule="auto"/>
        <w:ind w:firstLine="420"/>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（4）如我方中标，我方将在法律规定的期限内与你方签订合同，按照磋商文件要求提交履约保证金，并在合同约定的期限内完成合同规定的全部义务。</w:t>
      </w:r>
    </w:p>
    <w:p w14:paraId="7785A54F">
      <w:pPr>
        <w:spacing w:line="360" w:lineRule="auto"/>
        <w:ind w:left="4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 其他补充条款（如有）：</w:t>
      </w:r>
      <w:r>
        <w:rPr>
          <w:color w:val="000000" w:themeColor="text1"/>
          <w:sz w:val="24"/>
          <w:szCs w:val="20"/>
          <w:highlight w:val="none"/>
          <w14:textFill>
            <w14:solidFill>
              <w14:schemeClr w14:val="tx1"/>
            </w14:solidFill>
          </w14:textFill>
        </w:rPr>
        <w:t>___________</w:t>
      </w:r>
      <w:r>
        <w:rPr>
          <w:color w:val="000000" w:themeColor="text1"/>
          <w:sz w:val="24"/>
          <w:highlight w:val="none"/>
          <w14:textFill>
            <w14:solidFill>
              <w14:schemeClr w14:val="tx1"/>
            </w14:solidFill>
          </w14:textFill>
        </w:rPr>
        <w:t>。</w:t>
      </w:r>
    </w:p>
    <w:p w14:paraId="7BE8AEED">
      <w:pPr>
        <w:spacing w:line="360" w:lineRule="auto"/>
        <w:ind w:firstLine="480"/>
        <w:rPr>
          <w:rFonts w:hint="eastAsia" w:eastAsia="宋体"/>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与本响应有关的一切正式往来信函请寄：</w:t>
      </w:r>
      <w:r>
        <w:rPr>
          <w:rFonts w:hint="eastAsia"/>
          <w:color w:val="000000" w:themeColor="text1"/>
          <w:sz w:val="24"/>
          <w:highlight w:val="none"/>
          <w:lang w:val="en-US" w:eastAsia="zh-CN"/>
          <w14:textFill>
            <w14:solidFill>
              <w14:schemeClr w14:val="tx1"/>
            </w14:solidFill>
          </w14:textFill>
        </w:rPr>
        <w:t xml:space="preserve"> </w:t>
      </w:r>
    </w:p>
    <w:p w14:paraId="7492422D">
      <w:pPr>
        <w:tabs>
          <w:tab w:val="left" w:pos="5580"/>
        </w:tabs>
        <w:spacing w:line="360" w:lineRule="auto"/>
        <w:ind w:left="420"/>
        <w:rPr>
          <w:color w:val="000000" w:themeColor="text1"/>
          <w:sz w:val="24"/>
          <w:szCs w:val="20"/>
          <w:highlight w:val="none"/>
          <w14:textFill>
            <w14:solidFill>
              <w14:schemeClr w14:val="tx1"/>
            </w14:solidFill>
          </w14:textFill>
        </w:rPr>
      </w:pPr>
    </w:p>
    <w:p w14:paraId="5B9AD850">
      <w:pPr>
        <w:tabs>
          <w:tab w:val="left" w:pos="5580"/>
        </w:tabs>
        <w:spacing w:line="360" w:lineRule="auto"/>
        <w:ind w:left="42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地址_________________________     传真____________________________</w:t>
      </w:r>
    </w:p>
    <w:p w14:paraId="3BA9D001">
      <w:pPr>
        <w:tabs>
          <w:tab w:val="left" w:pos="5580"/>
        </w:tabs>
        <w:spacing w:line="360" w:lineRule="auto"/>
        <w:ind w:left="42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电话_________________________     电子函件________________________</w:t>
      </w:r>
    </w:p>
    <w:p w14:paraId="409474EA">
      <w:pPr>
        <w:tabs>
          <w:tab w:val="left" w:pos="5580"/>
        </w:tabs>
        <w:spacing w:line="360" w:lineRule="auto"/>
        <w:ind w:left="420"/>
        <w:rPr>
          <w:color w:val="000000" w:themeColor="text1"/>
          <w:sz w:val="24"/>
          <w:szCs w:val="20"/>
          <w:highlight w:val="none"/>
          <w14:textFill>
            <w14:solidFill>
              <w14:schemeClr w14:val="tx1"/>
            </w14:solidFill>
          </w14:textFill>
        </w:rPr>
      </w:pPr>
    </w:p>
    <w:p w14:paraId="21E95C1C">
      <w:pPr>
        <w:tabs>
          <w:tab w:val="left" w:pos="5580"/>
        </w:tabs>
        <w:spacing w:line="360" w:lineRule="auto"/>
        <w:ind w:left="42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供应商名称（加盖公章） ___________</w:t>
      </w:r>
    </w:p>
    <w:p w14:paraId="2F4CEB62">
      <w:pPr>
        <w:tabs>
          <w:tab w:val="left" w:pos="5580"/>
        </w:tabs>
        <w:spacing w:line="360" w:lineRule="auto"/>
        <w:ind w:left="42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p>
    <w:p w14:paraId="698D3850">
      <w:pPr>
        <w:tabs>
          <w:tab w:val="left" w:pos="5580"/>
        </w:tabs>
        <w:spacing w:line="360" w:lineRule="auto"/>
        <w:ind w:left="420"/>
        <w:rPr>
          <w:color w:val="000000" w:themeColor="text1"/>
          <w:sz w:val="24"/>
          <w:szCs w:val="20"/>
          <w:highlight w:val="none"/>
          <w:u w:val="single"/>
          <w14:textFill>
            <w14:solidFill>
              <w14:schemeClr w14:val="tx1"/>
            </w14:solidFill>
          </w14:textFill>
        </w:rPr>
      </w:pPr>
    </w:p>
    <w:p w14:paraId="41ABE8A2">
      <w:pPr>
        <w:widowControl/>
        <w:jc w:val="left"/>
        <w:rPr>
          <w:rFonts w:hint="eastAsia"/>
          <w:color w:val="000000" w:themeColor="text1"/>
          <w:sz w:val="24"/>
          <w:highlight w:val="none"/>
          <w14:textFill>
            <w14:solidFill>
              <w14:schemeClr w14:val="tx1"/>
            </w14:solidFill>
          </w14:textFill>
        </w:rPr>
      </w:pPr>
      <w:bookmarkStart w:id="743" w:name="_Hlt520356243"/>
      <w:bookmarkEnd w:id="743"/>
      <w:bookmarkStart w:id="744" w:name="_Hlt520355938"/>
      <w:bookmarkEnd w:id="744"/>
      <w:r>
        <w:rPr>
          <w:color w:val="000000" w:themeColor="text1"/>
          <w:sz w:val="24"/>
          <w:highlight w:val="none"/>
          <w14:textFill>
            <w14:solidFill>
              <w14:schemeClr w14:val="tx1"/>
            </w14:solidFill>
          </w14:textFill>
        </w:rPr>
        <w:br w:type="page" w:clear="all"/>
      </w:r>
    </w:p>
    <w:p w14:paraId="0CBB22DD">
      <w:pPr>
        <w:widowControl/>
        <w:jc w:val="lef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5</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法定代表人资格证明书</w:t>
      </w:r>
      <w:r>
        <w:rPr>
          <w:color w:val="000000" w:themeColor="text1"/>
          <w:sz w:val="24"/>
          <w:szCs w:val="20"/>
          <w:highlight w:val="none"/>
          <w14:textFill>
            <w14:solidFill>
              <w14:schemeClr w14:val="tx1"/>
            </w14:solidFill>
          </w14:textFill>
        </w:rPr>
        <w:t>（实质性格式）</w:t>
      </w:r>
    </w:p>
    <w:p w14:paraId="604BD9A0">
      <w:pPr>
        <w:spacing w:line="360" w:lineRule="auto"/>
        <w:jc w:val="center"/>
        <w:rPr>
          <w:rFonts w:hint="eastAsia" w:ascii="宋体" w:hAnsi="宋体"/>
          <w:b/>
          <w:color w:val="000000" w:themeColor="text1"/>
          <w:sz w:val="32"/>
          <w:szCs w:val="32"/>
          <w:highlight w:val="none"/>
          <w14:textFill>
            <w14:solidFill>
              <w14:schemeClr w14:val="tx1"/>
            </w14:solidFill>
          </w14:textFill>
        </w:rPr>
      </w:pPr>
    </w:p>
    <w:p w14:paraId="02DF5518">
      <w:pPr>
        <w:spacing w:line="360" w:lineRule="auto"/>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法定代表人资格证明书</w:t>
      </w:r>
    </w:p>
    <w:p w14:paraId="79E5FB51">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单位名称:</w:t>
      </w:r>
    </w:p>
    <w:p w14:paraId="0F4D9AA5">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地址:</w:t>
      </w:r>
    </w:p>
    <w:p w14:paraId="4C464A06">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姓名:     性别:       年龄:      职务:</w:t>
      </w:r>
    </w:p>
    <w:p w14:paraId="4A5E0464">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系</w:t>
      </w:r>
      <w:r>
        <w:rPr>
          <w:rFonts w:hint="eastAsia" w:ascii="宋体" w:hAnsi="宋体"/>
          <w:color w:val="000000" w:themeColor="text1"/>
          <w:sz w:val="24"/>
          <w:highlight w:val="none"/>
          <w:u w:val="single"/>
          <w14:textFill>
            <w14:solidFill>
              <w14:schemeClr w14:val="tx1"/>
            </w14:solidFill>
          </w14:textFill>
        </w:rPr>
        <w:t>（供应商名称）</w:t>
      </w:r>
      <w:r>
        <w:rPr>
          <w:rFonts w:hint="eastAsia" w:ascii="宋体" w:hAnsi="宋体"/>
          <w:color w:val="000000" w:themeColor="text1"/>
          <w:sz w:val="24"/>
          <w:highlight w:val="none"/>
          <w14:textFill>
            <w14:solidFill>
              <w14:schemeClr w14:val="tx1"/>
            </w14:solidFill>
          </w14:textFill>
        </w:rPr>
        <w:t>的法定代表人。为参与</w:t>
      </w:r>
      <w:r>
        <w:rPr>
          <w:rFonts w:hint="eastAsia" w:ascii="宋体" w:hAnsi="宋体"/>
          <w:color w:val="000000" w:themeColor="text1"/>
          <w:sz w:val="24"/>
          <w:highlight w:val="none"/>
          <w:u w:val="single"/>
          <w14:textFill>
            <w14:solidFill>
              <w14:schemeClr w14:val="tx1"/>
            </w14:solidFill>
          </w14:textFill>
        </w:rPr>
        <w:t>（项目名称）</w:t>
      </w:r>
      <w:r>
        <w:rPr>
          <w:rFonts w:hint="eastAsia" w:ascii="宋体" w:hAnsi="宋体"/>
          <w:color w:val="000000" w:themeColor="text1"/>
          <w:sz w:val="24"/>
          <w:highlight w:val="none"/>
          <w14:textFill>
            <w14:solidFill>
              <w14:schemeClr w14:val="tx1"/>
            </w14:solidFill>
          </w14:textFill>
        </w:rPr>
        <w:t>的政府采购活动，</w:t>
      </w:r>
      <w:r>
        <w:rPr>
          <w:rFonts w:ascii="宋体" w:hAnsi="宋体"/>
          <w:color w:val="000000" w:themeColor="text1"/>
          <w:sz w:val="24"/>
          <w:szCs w:val="20"/>
          <w:highlight w:val="none"/>
          <w14:textFill>
            <w14:solidFill>
              <w14:schemeClr w14:val="tx1"/>
            </w14:solidFill>
          </w14:textFill>
        </w:rPr>
        <w:t>签署、澄清确认、递交、撤回、修改</w:t>
      </w:r>
      <w:r>
        <w:rPr>
          <w:rFonts w:hint="eastAsia" w:ascii="宋体" w:hAnsi="宋体"/>
          <w:color w:val="000000" w:themeColor="text1"/>
          <w:sz w:val="24"/>
          <w:highlight w:val="none"/>
          <w14:textFill>
            <w14:solidFill>
              <w14:schemeClr w14:val="tx1"/>
            </w14:solidFill>
          </w14:textFill>
        </w:rPr>
        <w:t>上述项目的响应文件、进行合同磋商、签署合同和处理与之有关的一切事务。</w:t>
      </w:r>
    </w:p>
    <w:p w14:paraId="69602E2F">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特此证明。</w:t>
      </w:r>
    </w:p>
    <w:p w14:paraId="717ACC39">
      <w:pPr>
        <w:spacing w:line="560" w:lineRule="exact"/>
        <w:rPr>
          <w:rFonts w:ascii="宋体" w:hAnsi="宋体"/>
          <w:color w:val="000000" w:themeColor="text1"/>
          <w:sz w:val="24"/>
          <w:highlight w:val="none"/>
          <w14:textFill>
            <w14:solidFill>
              <w14:schemeClr w14:val="tx1"/>
            </w14:solidFill>
          </w14:textFill>
        </w:rPr>
      </w:pPr>
    </w:p>
    <w:p w14:paraId="3DE3241C">
      <w:pPr>
        <w:pStyle w:val="36"/>
        <w:spacing w:line="583" w:lineRule="auto"/>
        <w:ind w:right="-46"/>
        <w:rPr>
          <w:color w:val="000000" w:themeColor="text1"/>
          <w:spacing w:val="-3"/>
          <w:highlight w:val="none"/>
          <w14:textFill>
            <w14:solidFill>
              <w14:schemeClr w14:val="tx1"/>
            </w14:solidFill>
          </w14:textFill>
        </w:rPr>
      </w:pPr>
      <w:r>
        <w:rPr>
          <w:color w:val="000000" w:themeColor="text1"/>
          <w:highlight w:val="none"/>
          <w14:textFill>
            <w14:solidFill>
              <w14:schemeClr w14:val="tx1"/>
            </w14:solidFill>
          </w14:textFill>
        </w:rPr>
        <w:t>附：</w:t>
      </w:r>
      <w:r>
        <w:rPr>
          <w:color w:val="000000" w:themeColor="text1"/>
          <w:spacing w:val="-3"/>
          <w:highlight w:val="none"/>
          <w14:textFill>
            <w14:solidFill>
              <w14:schemeClr w14:val="tx1"/>
            </w14:solidFill>
          </w14:textFill>
        </w:rPr>
        <w:t>法</w:t>
      </w:r>
      <w:r>
        <w:rPr>
          <w:color w:val="000000" w:themeColor="text1"/>
          <w:highlight w:val="none"/>
          <w14:textFill>
            <w14:solidFill>
              <w14:schemeClr w14:val="tx1"/>
            </w14:solidFill>
          </w14:textFill>
        </w:rPr>
        <w:t>定</w:t>
      </w:r>
      <w:r>
        <w:rPr>
          <w:color w:val="000000" w:themeColor="text1"/>
          <w:spacing w:val="-3"/>
          <w:highlight w:val="none"/>
          <w14:textFill>
            <w14:solidFill>
              <w14:schemeClr w14:val="tx1"/>
            </w14:solidFill>
          </w14:textFill>
        </w:rPr>
        <w:t>代</w:t>
      </w:r>
      <w:r>
        <w:rPr>
          <w:color w:val="000000" w:themeColor="text1"/>
          <w:highlight w:val="none"/>
          <w14:textFill>
            <w14:solidFill>
              <w14:schemeClr w14:val="tx1"/>
            </w14:solidFill>
          </w14:textFill>
        </w:rPr>
        <w:t>表</w:t>
      </w:r>
      <w:r>
        <w:rPr>
          <w:color w:val="000000" w:themeColor="text1"/>
          <w:spacing w:val="-3"/>
          <w:highlight w:val="none"/>
          <w14:textFill>
            <w14:solidFill>
              <w14:schemeClr w14:val="tx1"/>
            </w14:solidFill>
          </w14:textFill>
        </w:rPr>
        <w:t>人</w:t>
      </w:r>
      <w:r>
        <w:rPr>
          <w:color w:val="000000" w:themeColor="text1"/>
          <w:highlight w:val="none"/>
          <w14:textFill>
            <w14:solidFill>
              <w14:schemeClr w14:val="tx1"/>
            </w14:solidFill>
          </w14:textFill>
        </w:rPr>
        <w:t>（</w:t>
      </w:r>
      <w:r>
        <w:rPr>
          <w:color w:val="000000" w:themeColor="text1"/>
          <w:spacing w:val="-3"/>
          <w:highlight w:val="none"/>
          <w14:textFill>
            <w14:solidFill>
              <w14:schemeClr w14:val="tx1"/>
            </w14:solidFill>
          </w14:textFill>
        </w:rPr>
        <w:t>单</w:t>
      </w:r>
      <w:r>
        <w:rPr>
          <w:color w:val="000000" w:themeColor="text1"/>
          <w:highlight w:val="none"/>
          <w14:textFill>
            <w14:solidFill>
              <w14:schemeClr w14:val="tx1"/>
            </w14:solidFill>
          </w14:textFill>
        </w:rPr>
        <w:t>位</w:t>
      </w:r>
      <w:r>
        <w:rPr>
          <w:color w:val="000000" w:themeColor="text1"/>
          <w:spacing w:val="-3"/>
          <w:highlight w:val="none"/>
          <w14:textFill>
            <w14:solidFill>
              <w14:schemeClr w14:val="tx1"/>
            </w14:solidFill>
          </w14:textFill>
        </w:rPr>
        <w:t>负</w:t>
      </w:r>
      <w:r>
        <w:rPr>
          <w:color w:val="000000" w:themeColor="text1"/>
          <w:highlight w:val="none"/>
          <w14:textFill>
            <w14:solidFill>
              <w14:schemeClr w14:val="tx1"/>
            </w14:solidFill>
          </w14:textFill>
        </w:rPr>
        <w:t>责人</w:t>
      </w:r>
      <w:r>
        <w:rPr>
          <w:color w:val="000000" w:themeColor="text1"/>
          <w:spacing w:val="-3"/>
          <w:highlight w:val="none"/>
          <w14:textFill>
            <w14:solidFill>
              <w14:schemeClr w14:val="tx1"/>
            </w14:solidFill>
          </w14:textFill>
        </w:rPr>
        <w:t>）有效期内的身</w:t>
      </w:r>
      <w:r>
        <w:rPr>
          <w:rFonts w:hint="eastAsia"/>
          <w:color w:val="000000" w:themeColor="text1"/>
          <w:spacing w:val="-3"/>
          <w:highlight w:val="none"/>
          <w14:textFill>
            <w14:solidFill>
              <w14:schemeClr w14:val="tx1"/>
            </w14:solidFill>
          </w14:textFill>
        </w:rPr>
        <w:t>份</w:t>
      </w:r>
      <w:r>
        <w:rPr>
          <w:color w:val="000000" w:themeColor="text1"/>
          <w:spacing w:val="-3"/>
          <w:highlight w:val="none"/>
          <w14:textFill>
            <w14:solidFill>
              <w14:schemeClr w14:val="tx1"/>
            </w14:solidFill>
          </w14:textFill>
        </w:rPr>
        <w:t>证正反面</w:t>
      </w:r>
      <w:r>
        <w:rPr>
          <w:rFonts w:hint="eastAsia"/>
          <w:color w:val="000000" w:themeColor="text1"/>
          <w:spacing w:val="-3"/>
          <w:highlight w:val="none"/>
          <w14:textFill>
            <w14:solidFill>
              <w14:schemeClr w14:val="tx1"/>
            </w14:solidFill>
          </w14:textFill>
        </w:rPr>
        <w:t>电子</w:t>
      </w:r>
      <w:r>
        <w:rPr>
          <w:color w:val="000000" w:themeColor="text1"/>
          <w:spacing w:val="-3"/>
          <w:highlight w:val="none"/>
          <w14:textFill>
            <w14:solidFill>
              <w14:schemeClr w14:val="tx1"/>
            </w14:solidFill>
          </w14:textFill>
        </w:rPr>
        <w:t>件</w:t>
      </w:r>
      <w:r>
        <w:rPr>
          <w:rFonts w:hint="eastAsia"/>
          <w:color w:val="000000" w:themeColor="text1"/>
          <w:spacing w:val="-3"/>
          <w:highlight w:val="none"/>
          <w14:textFill>
            <w14:solidFill>
              <w14:schemeClr w14:val="tx1"/>
            </w14:solidFill>
          </w14:textFill>
        </w:rPr>
        <w:t>。</w:t>
      </w:r>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53056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665D13A0">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65CC5945">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600D76C3">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tc>
        <w:tc>
          <w:tcPr>
            <w:tcW w:w="4536" w:type="dxa"/>
            <w:noWrap w:val="0"/>
            <w:vAlign w:val="top"/>
          </w:tcPr>
          <w:p w14:paraId="2A1A8A24">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308BFFD5">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644C05FF">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tc>
      </w:tr>
    </w:tbl>
    <w:p w14:paraId="2BE66FDA">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供应商：（加盖公章）</w:t>
      </w:r>
    </w:p>
    <w:p w14:paraId="0AE4D269">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法定代表人</w:t>
      </w:r>
      <w:r>
        <w:rPr>
          <w:rFonts w:ascii="宋体" w:hAnsi="宋体"/>
          <w:color w:val="000000" w:themeColor="text1"/>
          <w:sz w:val="24"/>
          <w:szCs w:val="20"/>
          <w:highlight w:val="none"/>
          <w14:textFill>
            <w14:solidFill>
              <w14:schemeClr w14:val="tx1"/>
            </w14:solidFill>
          </w14:textFill>
        </w:rPr>
        <w:t>签字</w:t>
      </w:r>
      <w:r>
        <w:rPr>
          <w:rFonts w:hint="eastAsia" w:ascii="宋体" w:hAnsi="宋体"/>
          <w:color w:val="000000" w:themeColor="text1"/>
          <w:sz w:val="24"/>
          <w:szCs w:val="20"/>
          <w:highlight w:val="none"/>
          <w14:textFill>
            <w14:solidFill>
              <w14:schemeClr w14:val="tx1"/>
            </w14:solidFill>
          </w14:textFill>
        </w:rPr>
        <w:t>、签章</w:t>
      </w:r>
      <w:r>
        <w:rPr>
          <w:rFonts w:ascii="宋体" w:hAnsi="宋体"/>
          <w:color w:val="000000" w:themeColor="text1"/>
          <w:sz w:val="24"/>
          <w:szCs w:val="20"/>
          <w:highlight w:val="none"/>
          <w14:textFill>
            <w14:solidFill>
              <w14:schemeClr w14:val="tx1"/>
            </w14:solidFill>
          </w14:textFill>
        </w:rPr>
        <w:t>或</w:t>
      </w:r>
      <w:r>
        <w:rPr>
          <w:rFonts w:hint="eastAsia" w:ascii="宋体" w:hAnsi="宋体"/>
          <w:color w:val="000000" w:themeColor="text1"/>
          <w:sz w:val="24"/>
          <w:szCs w:val="20"/>
          <w:highlight w:val="none"/>
          <w14:textFill>
            <w14:solidFill>
              <w14:schemeClr w14:val="tx1"/>
            </w14:solidFill>
          </w14:textFill>
        </w:rPr>
        <w:t>印鉴</w:t>
      </w:r>
      <w:r>
        <w:rPr>
          <w:rFonts w:hint="eastAsia" w:ascii="宋体" w:hAnsi="宋体"/>
          <w:color w:val="000000" w:themeColor="text1"/>
          <w:sz w:val="24"/>
          <w:highlight w:val="none"/>
          <w14:textFill>
            <w14:solidFill>
              <w14:schemeClr w14:val="tx1"/>
            </w14:solidFill>
          </w14:textFill>
        </w:rPr>
        <w:t>：</w:t>
      </w:r>
    </w:p>
    <w:p w14:paraId="22B8419B">
      <w:pPr>
        <w:spacing w:line="560" w:lineRule="exact"/>
        <w:ind w:firstLine="43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日期：    年    月    日</w:t>
      </w:r>
    </w:p>
    <w:p w14:paraId="735AC847">
      <w:pPr>
        <w:widowControl/>
        <w:jc w:val="left"/>
        <w:rPr>
          <w:rFonts w:hint="eastAsia"/>
          <w:color w:val="000000" w:themeColor="text1"/>
          <w:sz w:val="24"/>
          <w:highlight w:val="none"/>
          <w14:textFill>
            <w14:solidFill>
              <w14:schemeClr w14:val="tx1"/>
            </w14:solidFill>
          </w14:textFill>
        </w:rPr>
      </w:pPr>
    </w:p>
    <w:p w14:paraId="74128D17">
      <w:pPr>
        <w:widowControl/>
        <w:jc w:val="left"/>
        <w:rPr>
          <w:rFonts w:hint="eastAsia"/>
          <w:color w:val="000000" w:themeColor="text1"/>
          <w:sz w:val="24"/>
          <w:highlight w:val="none"/>
          <w14:textFill>
            <w14:solidFill>
              <w14:schemeClr w14:val="tx1"/>
            </w14:solidFill>
          </w14:textFill>
        </w:rPr>
      </w:pPr>
    </w:p>
    <w:p w14:paraId="3D3CEDC1">
      <w:pPr>
        <w:widowControl/>
        <w:jc w:val="left"/>
        <w:rPr>
          <w:rFonts w:hint="eastAsia"/>
          <w:color w:val="000000" w:themeColor="text1"/>
          <w:sz w:val="24"/>
          <w:highlight w:val="none"/>
          <w14:textFill>
            <w14:solidFill>
              <w14:schemeClr w14:val="tx1"/>
            </w14:solidFill>
          </w14:textFill>
        </w:rPr>
      </w:pPr>
    </w:p>
    <w:p w14:paraId="0ED316C2">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说明</w:t>
      </w:r>
      <w:r>
        <w:rPr>
          <w:rFonts w:ascii="宋体" w:hAnsi="宋体"/>
          <w:color w:val="000000" w:themeColor="text1"/>
          <w:sz w:val="24"/>
          <w:szCs w:val="20"/>
          <w:highlight w:val="none"/>
          <w14:textFill>
            <w14:solidFill>
              <w14:schemeClr w14:val="tx1"/>
            </w14:solidFill>
          </w14:textFill>
        </w:rPr>
        <w:t>：</w:t>
      </w:r>
    </w:p>
    <w:p w14:paraId="704F5344">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1.若供应商为事业单位或其他组织或分支机构（仅当</w:t>
      </w:r>
      <w:r>
        <w:rPr>
          <w:rFonts w:hint="eastAsia" w:ascii="宋体" w:hAnsi="宋体"/>
          <w:color w:val="000000" w:themeColor="text1"/>
          <w:sz w:val="24"/>
          <w:szCs w:val="20"/>
          <w:highlight w:val="none"/>
          <w14:textFill>
            <w14:solidFill>
              <w14:schemeClr w14:val="tx1"/>
            </w14:solidFill>
          </w14:textFill>
        </w:rPr>
        <w:t>磋商文件</w:t>
      </w:r>
      <w:r>
        <w:rPr>
          <w:rFonts w:ascii="宋体" w:hAnsi="宋体"/>
          <w:color w:val="000000" w:themeColor="text1"/>
          <w:sz w:val="24"/>
          <w:szCs w:val="20"/>
          <w:highlight w:val="none"/>
          <w14:textFill>
            <w14:solidFill>
              <w14:schemeClr w14:val="tx1"/>
            </w14:solidFill>
          </w14:textFill>
        </w:rPr>
        <w:t>注明允许分支机构</w:t>
      </w:r>
      <w:r>
        <w:rPr>
          <w:rFonts w:hint="eastAsia" w:ascii="宋体" w:hAnsi="宋体"/>
          <w:color w:val="000000" w:themeColor="text1"/>
          <w:sz w:val="24"/>
          <w:szCs w:val="20"/>
          <w:highlight w:val="none"/>
          <w14:textFill>
            <w14:solidFill>
              <w14:schemeClr w14:val="tx1"/>
            </w14:solidFill>
          </w14:textFill>
        </w:rPr>
        <w:t>响应</w:t>
      </w:r>
      <w:r>
        <w:rPr>
          <w:rFonts w:ascii="宋体" w:hAnsi="宋体"/>
          <w:color w:val="000000" w:themeColor="text1"/>
          <w:sz w:val="24"/>
          <w:szCs w:val="20"/>
          <w:highlight w:val="none"/>
          <w14:textFill>
            <w14:solidFill>
              <w14:schemeClr w14:val="tx1"/>
            </w14:solidFill>
          </w14:textFill>
        </w:rPr>
        <w:t>的），则法定代表人（单位负责人）</w:t>
      </w:r>
      <w:r>
        <w:rPr>
          <w:rFonts w:hint="eastAsia" w:ascii="宋体" w:hAnsi="宋体"/>
          <w:color w:val="000000" w:themeColor="text1"/>
          <w:sz w:val="24"/>
          <w:szCs w:val="20"/>
          <w:highlight w:val="none"/>
          <w14:textFill>
            <w14:solidFill>
              <w14:schemeClr w14:val="tx1"/>
            </w14:solidFill>
          </w14:textFill>
        </w:rPr>
        <w:t>处</w:t>
      </w:r>
      <w:r>
        <w:rPr>
          <w:rFonts w:ascii="宋体" w:hAnsi="宋体"/>
          <w:color w:val="000000" w:themeColor="text1"/>
          <w:sz w:val="24"/>
          <w:szCs w:val="20"/>
          <w:highlight w:val="none"/>
          <w14:textFill>
            <w14:solidFill>
              <w14:schemeClr w14:val="tx1"/>
            </w14:solidFill>
          </w14:textFill>
        </w:rPr>
        <w:t>的签署人可为单位负责人</w:t>
      </w:r>
      <w:r>
        <w:rPr>
          <w:rFonts w:hint="eastAsia" w:ascii="宋体" w:hAnsi="宋体"/>
          <w:color w:val="000000" w:themeColor="text1"/>
          <w:sz w:val="24"/>
          <w:szCs w:val="20"/>
          <w:highlight w:val="none"/>
          <w14:textFill>
            <w14:solidFill>
              <w14:schemeClr w14:val="tx1"/>
            </w14:solidFill>
          </w14:textFill>
        </w:rPr>
        <w:t>。</w:t>
      </w:r>
    </w:p>
    <w:p w14:paraId="2E084FF5">
      <w:pPr>
        <w:tabs>
          <w:tab w:val="left" w:pos="5580"/>
        </w:tabs>
        <w:spacing w:line="360" w:lineRule="auto"/>
        <w:jc w:val="left"/>
        <w:rPr>
          <w:rFonts w:ascii="宋体" w:hAnsi="宋体"/>
          <w:i/>
          <w:color w:val="000000" w:themeColor="text1"/>
          <w:sz w:val="24"/>
          <w:szCs w:val="20"/>
          <w:highlight w:val="none"/>
          <w:u w:val="singl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3.</w:t>
      </w:r>
      <w:r>
        <w:rPr>
          <w:rFonts w:hint="eastAsia" w:ascii="宋体" w:hAnsi="宋体"/>
          <w:color w:val="000000" w:themeColor="text1"/>
          <w:sz w:val="24"/>
          <w:szCs w:val="20"/>
          <w:highlight w:val="none"/>
          <w14:textFill>
            <w14:solidFill>
              <w14:schemeClr w14:val="tx1"/>
            </w14:solidFill>
          </w14:textFill>
        </w:rPr>
        <w:t>供应商为自然人的情形，可不提供本</w:t>
      </w:r>
      <w:r>
        <w:rPr>
          <w:rFonts w:ascii="宋体" w:hAnsi="宋体"/>
          <w:color w:val="000000" w:themeColor="text1"/>
          <w:sz w:val="24"/>
          <w:szCs w:val="20"/>
          <w:highlight w:val="none"/>
          <w14:textFill>
            <w14:solidFill>
              <w14:schemeClr w14:val="tx1"/>
            </w14:solidFill>
          </w14:textFill>
        </w:rPr>
        <w:t>《</w:t>
      </w:r>
      <w:r>
        <w:rPr>
          <w:rFonts w:hint="eastAsia" w:ascii="宋体" w:hAnsi="宋体"/>
          <w:color w:val="000000" w:themeColor="text1"/>
          <w:sz w:val="24"/>
          <w:szCs w:val="20"/>
          <w:highlight w:val="none"/>
          <w14:textFill>
            <w14:solidFill>
              <w14:schemeClr w14:val="tx1"/>
            </w14:solidFill>
          </w14:textFill>
        </w:rPr>
        <w:t>授权委托书</w:t>
      </w:r>
      <w:r>
        <w:rPr>
          <w:rFonts w:ascii="宋体" w:hAnsi="宋体"/>
          <w:color w:val="000000" w:themeColor="text1"/>
          <w:sz w:val="24"/>
          <w:szCs w:val="20"/>
          <w:highlight w:val="none"/>
          <w14:textFill>
            <w14:solidFill>
              <w14:schemeClr w14:val="tx1"/>
            </w14:solidFill>
          </w14:textFill>
        </w:rPr>
        <w:t>》</w:t>
      </w:r>
      <w:r>
        <w:rPr>
          <w:rFonts w:hint="eastAsia" w:ascii="宋体" w:hAnsi="宋体"/>
          <w:color w:val="000000" w:themeColor="text1"/>
          <w:sz w:val="24"/>
          <w:szCs w:val="20"/>
          <w:highlight w:val="none"/>
          <w14:textFill>
            <w14:solidFill>
              <w14:schemeClr w14:val="tx1"/>
            </w14:solidFill>
          </w14:textFill>
        </w:rPr>
        <w:t>。</w:t>
      </w:r>
    </w:p>
    <w:p w14:paraId="52C31AB9">
      <w:pPr>
        <w:widowControl/>
        <w:jc w:val="left"/>
        <w:rPr>
          <w:rFonts w:hint="eastAsia"/>
          <w:color w:val="000000" w:themeColor="text1"/>
          <w:sz w:val="24"/>
          <w:highlight w:val="none"/>
          <w14:textFill>
            <w14:solidFill>
              <w14:schemeClr w14:val="tx1"/>
            </w14:solidFill>
          </w14:textFill>
        </w:rPr>
      </w:pPr>
    </w:p>
    <w:p w14:paraId="48359162">
      <w:pPr>
        <w:widowControl/>
        <w:jc w:val="left"/>
        <w:rPr>
          <w:rFonts w:hint="eastAsia"/>
          <w:color w:val="000000" w:themeColor="text1"/>
          <w:sz w:val="24"/>
          <w:highlight w:val="none"/>
          <w14:textFill>
            <w14:solidFill>
              <w14:schemeClr w14:val="tx1"/>
            </w14:solidFill>
          </w14:textFill>
        </w:rPr>
      </w:pPr>
    </w:p>
    <w:p w14:paraId="76431187">
      <w:pPr>
        <w:widowControl/>
        <w:jc w:val="left"/>
        <w:rPr>
          <w:rFonts w:hint="eastAsia"/>
          <w:color w:val="000000" w:themeColor="text1"/>
          <w:sz w:val="24"/>
          <w:highlight w:val="none"/>
          <w14:textFill>
            <w14:solidFill>
              <w14:schemeClr w14:val="tx1"/>
            </w14:solidFill>
          </w14:textFill>
        </w:rPr>
      </w:pPr>
    </w:p>
    <w:p w14:paraId="0A1E2AD3">
      <w:pPr>
        <w:pStyle w:val="223"/>
        <w:spacing w:line="360" w:lineRule="auto"/>
        <w:jc w:val="center"/>
        <w:rPr>
          <w:rFonts w:hint="eastAsia" w:hAnsi="宋体"/>
          <w:b/>
          <w:bCs/>
          <w:color w:val="000000" w:themeColor="text1"/>
          <w:sz w:val="28"/>
          <w:szCs w:val="28"/>
          <w:highlight w:val="none"/>
          <w14:textFill>
            <w14:solidFill>
              <w14:schemeClr w14:val="tx1"/>
            </w14:solidFill>
          </w14:textFill>
        </w:rPr>
        <w:sectPr>
          <w:pgSz w:w="11907" w:h="16840"/>
          <w:pgMar w:top="1417" w:right="1134" w:bottom="1417" w:left="1134" w:header="851" w:footer="851" w:gutter="0"/>
          <w:cols w:space="1701" w:num="1"/>
          <w:docGrid w:linePitch="360" w:charSpace="0"/>
        </w:sectPr>
      </w:pPr>
    </w:p>
    <w:p w14:paraId="245AAB88">
      <w:pPr>
        <w:pStyle w:val="223"/>
        <w:spacing w:line="360" w:lineRule="auto"/>
        <w:jc w:val="center"/>
        <w:rPr>
          <w:rFonts w:hAnsi="宋体"/>
          <w:color w:val="000000" w:themeColor="text1"/>
          <w:sz w:val="24"/>
          <w:highlight w:val="none"/>
          <w14:textFill>
            <w14:solidFill>
              <w14:schemeClr w14:val="tx1"/>
            </w14:solidFill>
          </w14:textFill>
        </w:rPr>
      </w:pPr>
      <w:r>
        <w:rPr>
          <w:rFonts w:hint="eastAsia" w:hAnsi="宋体"/>
          <w:b/>
          <w:bCs/>
          <w:color w:val="000000" w:themeColor="text1"/>
          <w:sz w:val="28"/>
          <w:szCs w:val="28"/>
          <w:highlight w:val="none"/>
          <w14:textFill>
            <w14:solidFill>
              <w14:schemeClr w14:val="tx1"/>
            </w14:solidFill>
          </w14:textFill>
        </w:rPr>
        <w:t>授权委托书</w:t>
      </w:r>
    </w:p>
    <w:p w14:paraId="2D545CE7">
      <w:pPr>
        <w:pStyle w:val="223"/>
        <w:spacing w:line="360" w:lineRule="auto"/>
        <w:rPr>
          <w:rFonts w:hAnsi="宋体"/>
          <w:color w:val="000000" w:themeColor="text1"/>
          <w:sz w:val="21"/>
          <w:szCs w:val="21"/>
          <w:highlight w:val="none"/>
          <w14:textFill>
            <w14:solidFill>
              <w14:schemeClr w14:val="tx1"/>
            </w14:solidFill>
          </w14:textFill>
        </w:rPr>
      </w:pPr>
    </w:p>
    <w:p w14:paraId="4C28F7C0">
      <w:pPr>
        <w:spacing w:line="560" w:lineRule="exact"/>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本授权委托书声明：我 </w:t>
      </w:r>
      <w:r>
        <w:rPr>
          <w:rFonts w:hint="eastAsia" w:ascii="宋体" w:hAnsi="宋体" w:eastAsia="宋体" w:cs="Times New Roman"/>
          <w:color w:val="000000" w:themeColor="text1"/>
          <w:sz w:val="24"/>
          <w:highlight w:val="none"/>
          <w:u w:val="single"/>
          <w14:textFill>
            <w14:solidFill>
              <w14:schemeClr w14:val="tx1"/>
            </w14:solidFill>
          </w14:textFill>
        </w:rPr>
        <w:t xml:space="preserve">        (姓名)</w:t>
      </w:r>
      <w:r>
        <w:rPr>
          <w:rFonts w:hint="eastAsia" w:ascii="宋体" w:hAnsi="宋体" w:eastAsia="宋体" w:cs="Times New Roman"/>
          <w:color w:val="000000" w:themeColor="text1"/>
          <w:sz w:val="24"/>
          <w:highlight w:val="none"/>
          <w14:textFill>
            <w14:solidFill>
              <w14:schemeClr w14:val="tx1"/>
            </w14:solidFill>
          </w14:textFill>
        </w:rPr>
        <w:t>系</w:t>
      </w:r>
      <w:r>
        <w:rPr>
          <w:rFonts w:hint="eastAsia" w:ascii="宋体" w:hAnsi="宋体" w:eastAsia="宋体" w:cs="Times New Roman"/>
          <w:color w:val="000000" w:themeColor="text1"/>
          <w:sz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highlight w:val="none"/>
          <w:u w:val="single"/>
          <w:lang w:val="en-US" w:eastAsia="zh-CN"/>
          <w14:textFill>
            <w14:solidFill>
              <w14:schemeClr w14:val="tx1"/>
            </w14:solidFill>
          </w14:textFill>
        </w:rPr>
        <w:t>响应人</w:t>
      </w:r>
      <w:r>
        <w:rPr>
          <w:rFonts w:hint="eastAsia" w:ascii="宋体" w:hAnsi="宋体" w:eastAsia="宋体" w:cs="Times New Roman"/>
          <w:color w:val="000000" w:themeColor="text1"/>
          <w:sz w:val="24"/>
          <w:highlight w:val="none"/>
          <w:u w:val="single"/>
          <w14:textFill>
            <w14:solidFill>
              <w14:schemeClr w14:val="tx1"/>
            </w14:solidFill>
          </w14:textFill>
        </w:rPr>
        <w:t>名称)</w:t>
      </w:r>
      <w:r>
        <w:rPr>
          <w:rFonts w:hint="eastAsia" w:ascii="宋体" w:hAnsi="宋体" w:eastAsia="宋体" w:cs="Times New Roman"/>
          <w:color w:val="000000" w:themeColor="text1"/>
          <w:sz w:val="24"/>
          <w:highlight w:val="none"/>
          <w14:textFill>
            <w14:solidFill>
              <w14:schemeClr w14:val="tx1"/>
            </w14:solidFill>
          </w14:textFill>
        </w:rPr>
        <w:t xml:space="preserve">的法定代表人，现授权委托 </w:t>
      </w:r>
      <w:r>
        <w:rPr>
          <w:rFonts w:hint="eastAsia" w:ascii="宋体" w:hAnsi="宋体" w:eastAsia="宋体" w:cs="Times New Roman"/>
          <w:color w:val="000000" w:themeColor="text1"/>
          <w:sz w:val="24"/>
          <w:highlight w:val="none"/>
          <w:u w:val="single"/>
          <w14:textFill>
            <w14:solidFill>
              <w14:schemeClr w14:val="tx1"/>
            </w14:solidFill>
          </w14:textFill>
        </w:rPr>
        <w:t xml:space="preserve">           （单位名称）</w:t>
      </w:r>
      <w:r>
        <w:rPr>
          <w:rFonts w:hint="eastAsia" w:ascii="宋体" w:hAnsi="宋体" w:eastAsia="宋体" w:cs="Times New Roman"/>
          <w:color w:val="000000" w:themeColor="text1"/>
          <w:sz w:val="24"/>
          <w:highlight w:val="none"/>
          <w14:textFill>
            <w14:solidFill>
              <w14:schemeClr w14:val="tx1"/>
            </w14:solidFill>
          </w14:textFill>
        </w:rPr>
        <w:t>的</w:t>
      </w:r>
      <w:r>
        <w:rPr>
          <w:rFonts w:hint="eastAsia" w:ascii="宋体" w:hAnsi="宋体" w:eastAsia="宋体" w:cs="Times New Roman"/>
          <w:color w:val="000000" w:themeColor="text1"/>
          <w:sz w:val="24"/>
          <w:highlight w:val="none"/>
          <w:u w:val="single"/>
          <w14:textFill>
            <w14:solidFill>
              <w14:schemeClr w14:val="tx1"/>
            </w14:solidFill>
          </w14:textFill>
        </w:rPr>
        <w:t xml:space="preserve">        (姓名)</w:t>
      </w:r>
      <w:r>
        <w:rPr>
          <w:rFonts w:hint="eastAsia" w:ascii="宋体" w:hAnsi="宋体" w:eastAsia="宋体" w:cs="Times New Roman"/>
          <w:color w:val="000000" w:themeColor="text1"/>
          <w:sz w:val="24"/>
          <w:highlight w:val="none"/>
          <w14:textFill>
            <w14:solidFill>
              <w14:schemeClr w14:val="tx1"/>
            </w14:solidFill>
          </w14:textFill>
        </w:rPr>
        <w:t>为我公司代理人，参加</w:t>
      </w:r>
      <w:r>
        <w:rPr>
          <w:rFonts w:hint="eastAsia" w:ascii="宋体" w:hAnsi="宋体" w:eastAsia="宋体" w:cs="Times New Roman"/>
          <w:color w:val="000000" w:themeColor="text1"/>
          <w:sz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highlight w:val="none"/>
          <w:lang w:eastAsia="zh-CN"/>
          <w14:textFill>
            <w14:solidFill>
              <w14:schemeClr w14:val="tx1"/>
            </w14:solidFill>
          </w14:textFill>
        </w:rPr>
        <w:t>项目</w:t>
      </w:r>
      <w:r>
        <w:rPr>
          <w:rFonts w:hint="eastAsia" w:ascii="宋体" w:hAnsi="宋体" w:eastAsia="宋体" w:cs="Times New Roman"/>
          <w:color w:val="000000" w:themeColor="text1"/>
          <w:sz w:val="24"/>
          <w:highlight w:val="none"/>
          <w14:textFill>
            <w14:solidFill>
              <w14:schemeClr w14:val="tx1"/>
            </w14:solidFill>
          </w14:textFill>
        </w:rPr>
        <w:t>的</w:t>
      </w:r>
      <w:r>
        <w:rPr>
          <w:rFonts w:hint="eastAsia" w:ascii="宋体" w:hAnsi="宋体" w:eastAsia="宋体" w:cs="Times New Roman"/>
          <w:color w:val="000000" w:themeColor="text1"/>
          <w:sz w:val="24"/>
          <w:highlight w:val="none"/>
          <w:lang w:eastAsia="zh-CN"/>
          <w14:textFill>
            <w14:solidFill>
              <w14:schemeClr w14:val="tx1"/>
            </w14:solidFill>
          </w14:textFill>
        </w:rPr>
        <w:t>谈判</w:t>
      </w:r>
      <w:r>
        <w:rPr>
          <w:rFonts w:hint="eastAsia" w:ascii="宋体" w:hAnsi="宋体" w:eastAsia="宋体" w:cs="Times New Roman"/>
          <w:color w:val="000000" w:themeColor="text1"/>
          <w:sz w:val="24"/>
          <w:highlight w:val="none"/>
          <w14:textFill>
            <w14:solidFill>
              <w14:schemeClr w14:val="tx1"/>
            </w14:solidFill>
          </w14:textFill>
        </w:rPr>
        <w:t>活动。代理人在投标、开标、评标、合同谈判过程中所签署的一切文件和处理与之有关的一切事务，我均予以承认。</w:t>
      </w:r>
    </w:p>
    <w:p w14:paraId="70272E25">
      <w:pPr>
        <w:spacing w:line="560" w:lineRule="exact"/>
        <w:rPr>
          <w:rFonts w:hint="eastAsia" w:ascii="宋体" w:hAnsi="宋体" w:eastAsia="宋体" w:cs="Times New Roman"/>
          <w:color w:val="000000" w:themeColor="text1"/>
          <w:sz w:val="24"/>
          <w:highlight w:val="none"/>
          <w14:textFill>
            <w14:solidFill>
              <w14:schemeClr w14:val="tx1"/>
            </w14:solidFill>
          </w14:textFill>
        </w:rPr>
      </w:pPr>
    </w:p>
    <w:p w14:paraId="76E10D14">
      <w:pPr>
        <w:spacing w:line="560" w:lineRule="exact"/>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代理人无转委权。特此委托。</w:t>
      </w:r>
    </w:p>
    <w:p w14:paraId="5E4E12B1">
      <w:pPr>
        <w:spacing w:line="560" w:lineRule="exact"/>
        <w:rPr>
          <w:rFonts w:hint="eastAsia" w:ascii="宋体" w:hAnsi="宋体" w:eastAsia="宋体" w:cs="Times New Roman"/>
          <w:color w:val="000000" w:themeColor="text1"/>
          <w:sz w:val="24"/>
          <w:highlight w:val="none"/>
          <w14:textFill>
            <w14:solidFill>
              <w14:schemeClr w14:val="tx1"/>
            </w14:solidFill>
          </w14:textFill>
        </w:rPr>
      </w:pPr>
    </w:p>
    <w:p w14:paraId="3552DE9A">
      <w:pPr>
        <w:spacing w:line="560" w:lineRule="exact"/>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代理人：          性别：                 年龄：</w:t>
      </w:r>
    </w:p>
    <w:p w14:paraId="01437690">
      <w:pPr>
        <w:spacing w:line="560" w:lineRule="exact"/>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单位：               部门：               职务：</w:t>
      </w:r>
    </w:p>
    <w:p w14:paraId="285AA8D9">
      <w:pPr>
        <w:spacing w:line="560" w:lineRule="exact"/>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承包人：(盖章)</w:t>
      </w:r>
    </w:p>
    <w:p w14:paraId="794D303C">
      <w:pPr>
        <w:spacing w:line="560" w:lineRule="exact"/>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法定代表人：(签字或盖章)</w:t>
      </w:r>
    </w:p>
    <w:p w14:paraId="09D3D3AE">
      <w:pPr>
        <w:spacing w:line="560" w:lineRule="exact"/>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日期：     年   月   日</w:t>
      </w:r>
    </w:p>
    <w:p w14:paraId="27995AB2">
      <w:pPr>
        <w:spacing w:line="560" w:lineRule="exact"/>
        <w:rPr>
          <w:rFonts w:hint="eastAsia" w:ascii="宋体" w:hAnsi="宋体" w:eastAsia="宋体" w:cs="Times New Roman"/>
          <w:color w:val="000000" w:themeColor="text1"/>
          <w:sz w:val="24"/>
          <w:highlight w:val="none"/>
          <w14:textFill>
            <w14:solidFill>
              <w14:schemeClr w14:val="tx1"/>
            </w14:solidFill>
          </w14:textFill>
        </w:rPr>
      </w:pPr>
    </w:p>
    <w:p w14:paraId="19222F3D">
      <w:pPr>
        <w:spacing w:line="560" w:lineRule="exact"/>
        <w:rPr>
          <w:rFonts w:hint="eastAsia" w:ascii="宋体" w:hAnsi="宋体" w:eastAsia="宋体" w:cs="Times New Roman"/>
          <w:color w:val="000000" w:themeColor="text1"/>
          <w:sz w:val="24"/>
          <w:highlight w:val="none"/>
          <w14:textFill>
            <w14:solidFill>
              <w14:schemeClr w14:val="tx1"/>
            </w14:solidFill>
          </w14:textFill>
        </w:rPr>
      </w:pPr>
    </w:p>
    <w:p w14:paraId="0BF8F216">
      <w:pPr>
        <w:tabs>
          <w:tab w:val="left" w:pos="5580"/>
        </w:tabs>
        <w:spacing w:line="360" w:lineRule="auto"/>
        <w:jc w:val="left"/>
        <w:rPr>
          <w:color w:val="000000" w:themeColor="text1"/>
          <w:spacing w:val="-3"/>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附：</w:t>
      </w:r>
      <w:r>
        <w:rPr>
          <w:rFonts w:hint="eastAsia"/>
          <w:color w:val="000000" w:themeColor="text1"/>
          <w:spacing w:val="-3"/>
          <w:sz w:val="24"/>
          <w:szCs w:val="24"/>
          <w:highlight w:val="none"/>
          <w:lang w:eastAsia="zh-CN"/>
          <w14:textFill>
            <w14:solidFill>
              <w14:schemeClr w14:val="tx1"/>
            </w14:solidFill>
          </w14:textFill>
        </w:rPr>
        <w:t>授权委托</w:t>
      </w:r>
      <w:r>
        <w:rPr>
          <w:color w:val="000000" w:themeColor="text1"/>
          <w:spacing w:val="-3"/>
          <w:sz w:val="24"/>
          <w:szCs w:val="24"/>
          <w:highlight w:val="none"/>
          <w14:textFill>
            <w14:solidFill>
              <w14:schemeClr w14:val="tx1"/>
            </w14:solidFill>
          </w14:textFill>
        </w:rPr>
        <w:t>人有效期内的身</w:t>
      </w:r>
      <w:r>
        <w:rPr>
          <w:rFonts w:hint="eastAsia"/>
          <w:color w:val="000000" w:themeColor="text1"/>
          <w:spacing w:val="-3"/>
          <w:sz w:val="24"/>
          <w:szCs w:val="24"/>
          <w:highlight w:val="none"/>
          <w14:textFill>
            <w14:solidFill>
              <w14:schemeClr w14:val="tx1"/>
            </w14:solidFill>
          </w14:textFill>
        </w:rPr>
        <w:t>份</w:t>
      </w:r>
      <w:r>
        <w:rPr>
          <w:color w:val="000000" w:themeColor="text1"/>
          <w:spacing w:val="-3"/>
          <w:sz w:val="24"/>
          <w:szCs w:val="24"/>
          <w:highlight w:val="none"/>
          <w14:textFill>
            <w14:solidFill>
              <w14:schemeClr w14:val="tx1"/>
            </w14:solidFill>
          </w14:textFill>
        </w:rPr>
        <w:t>证正反面</w:t>
      </w:r>
      <w:r>
        <w:rPr>
          <w:rFonts w:hint="eastAsia"/>
          <w:color w:val="000000" w:themeColor="text1"/>
          <w:spacing w:val="-3"/>
          <w:sz w:val="24"/>
          <w:szCs w:val="24"/>
          <w:highlight w:val="none"/>
          <w:lang w:eastAsia="zh-CN"/>
          <w14:textFill>
            <w14:solidFill>
              <w14:schemeClr w14:val="tx1"/>
            </w14:solidFill>
          </w14:textFill>
        </w:rPr>
        <w:t>复印件</w:t>
      </w:r>
      <w:r>
        <w:rPr>
          <w:rFonts w:hint="eastAsia"/>
          <w:color w:val="000000" w:themeColor="text1"/>
          <w:spacing w:val="-3"/>
          <w:sz w:val="24"/>
          <w:szCs w:val="24"/>
          <w:highlight w:val="none"/>
          <w14:textFill>
            <w14:solidFill>
              <w14:schemeClr w14:val="tx1"/>
            </w14:solidFill>
          </w14:textFill>
        </w:rPr>
        <w:t>。</w:t>
      </w:r>
    </w:p>
    <w:tbl>
      <w:tblPr>
        <w:tblStyle w:val="30"/>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1848C4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75" w:hRule="atLeast"/>
          <w:jc w:val="center"/>
        </w:trPr>
        <w:tc>
          <w:tcPr>
            <w:tcW w:w="4673" w:type="dxa"/>
            <w:noWrap w:val="0"/>
            <w:vAlign w:val="top"/>
          </w:tcPr>
          <w:p w14:paraId="5F3FF90F">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3E618C6E">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0E3A5AF8">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tc>
        <w:tc>
          <w:tcPr>
            <w:tcW w:w="4536" w:type="dxa"/>
            <w:noWrap w:val="0"/>
            <w:vAlign w:val="top"/>
          </w:tcPr>
          <w:p w14:paraId="7171A3E9">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5E3344D7">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5B9CA412">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tc>
      </w:tr>
    </w:tbl>
    <w:p w14:paraId="55A7E91F">
      <w:pPr>
        <w:widowControl/>
        <w:jc w:val="left"/>
        <w:rPr>
          <w:rFonts w:hint="eastAsia"/>
          <w:color w:val="000000" w:themeColor="text1"/>
          <w:sz w:val="24"/>
          <w:highlight w:val="none"/>
          <w14:textFill>
            <w14:solidFill>
              <w14:schemeClr w14:val="tx1"/>
            </w14:solidFill>
          </w14:textFill>
        </w:rPr>
        <w:sectPr>
          <w:pgSz w:w="11907" w:h="16840"/>
          <w:pgMar w:top="1417" w:right="1134" w:bottom="1417" w:left="1134" w:header="851" w:footer="851" w:gutter="0"/>
          <w:cols w:space="1701" w:num="1"/>
          <w:docGrid w:linePitch="360" w:charSpace="0"/>
        </w:sectPr>
      </w:pPr>
    </w:p>
    <w:p w14:paraId="5813895C">
      <w:pPr>
        <w:widowControl/>
        <w:jc w:val="lef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6  政府采购供应商信用承诺书</w:t>
      </w:r>
      <w:r>
        <w:rPr>
          <w:color w:val="000000" w:themeColor="text1"/>
          <w:sz w:val="24"/>
          <w:szCs w:val="20"/>
          <w:highlight w:val="none"/>
          <w14:textFill>
            <w14:solidFill>
              <w14:schemeClr w14:val="tx1"/>
            </w14:solidFill>
          </w14:textFill>
        </w:rPr>
        <w:t>（实质性格式）</w:t>
      </w:r>
    </w:p>
    <w:p w14:paraId="6A078B5C">
      <w:pPr>
        <w:spacing w:line="560" w:lineRule="exact"/>
        <w:ind w:firstLine="321"/>
        <w:jc w:val="center"/>
        <w:rPr>
          <w:rFonts w:hint="eastAsia" w:ascii="黑体" w:hAnsi="黑体" w:eastAsia="黑体"/>
          <w:b/>
          <w:color w:val="000000" w:themeColor="text1"/>
          <w:sz w:val="32"/>
          <w:szCs w:val="32"/>
          <w:highlight w:val="none"/>
          <w14:textFill>
            <w14:solidFill>
              <w14:schemeClr w14:val="tx1"/>
            </w14:solidFill>
          </w14:textFill>
        </w:rPr>
      </w:pPr>
    </w:p>
    <w:p w14:paraId="1EBF4738">
      <w:pPr>
        <w:spacing w:line="560" w:lineRule="exact"/>
        <w:ind w:firstLine="321"/>
        <w:jc w:val="center"/>
        <w:rPr>
          <w:rFonts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t>政府采购供应商信用承诺书</w:t>
      </w:r>
    </w:p>
    <w:p w14:paraId="1549BD52">
      <w:pPr>
        <w:ind w:firstLine="640"/>
        <w:rPr>
          <w:color w:val="000000" w:themeColor="text1"/>
          <w:highlight w:val="none"/>
          <w14:textFill>
            <w14:solidFill>
              <w14:schemeClr w14:val="tx1"/>
            </w14:solidFill>
          </w14:textFill>
        </w:rPr>
      </w:pPr>
    </w:p>
    <w:p w14:paraId="39CCF6E1">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为维护公开、公平、公正的政府采购市场秩序，树立诚实守信的供应商形象，本单位在参与政府采购活动中,自愿作出以下承诺：</w:t>
      </w:r>
    </w:p>
    <w:p w14:paraId="6B8C4260">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一、严格遵守国家法律、法规和规章，全面履行应尽的责任和义务，全面做到履约守信，具备《</w:t>
      </w:r>
      <w:r>
        <w:rPr>
          <w:rFonts w:hint="eastAsia" w:ascii="宋体" w:hAnsi="宋体"/>
          <w:color w:val="000000" w:themeColor="text1"/>
          <w:sz w:val="24"/>
          <w:highlight w:val="none"/>
          <w:lang w:eastAsia="zh-CN"/>
          <w14:textFill>
            <w14:solidFill>
              <w14:schemeClr w14:val="tx1"/>
            </w14:solidFill>
          </w14:textFill>
        </w:rPr>
        <w:t>中华人民共和国政府采购法</w:t>
      </w:r>
      <w:r>
        <w:rPr>
          <w:rFonts w:hint="eastAsia" w:ascii="宋体" w:hAnsi="宋体"/>
          <w:color w:val="000000" w:themeColor="text1"/>
          <w:sz w:val="24"/>
          <w:highlight w:val="none"/>
          <w14:textFill>
            <w14:solidFill>
              <w14:schemeClr w14:val="tx1"/>
            </w14:solidFill>
          </w14:textFill>
        </w:rPr>
        <w:t>》第二十二条第一款规定的条件。</w:t>
      </w:r>
    </w:p>
    <w:p w14:paraId="7DB08154">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二、本单位已经阅读并充分理解《常州市政府采购供应商信用管理暂行办法》，自愿按照《常州市政府采购供应商信用管理暂行办法》规定，发生失信行为将记录并公开到“信用常州”、常州市政府采购网。</w:t>
      </w:r>
    </w:p>
    <w:p w14:paraId="11AFACA7">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三、本单位提供给注册登记部门、行业管理部门、司法部门、行业组织以及在政府采购活动中提交的所有资料均合法、真实、有效，无任何伪造、修改、虚假成份，并对所提供资料的真实性负责。</w:t>
      </w:r>
    </w:p>
    <w:p w14:paraId="4B914CF3">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四、严格依法开展生产经营活动，主动接受行业监管，自愿接受依法开展的日常检查；违法失信经营后将自愿接受约束和惩戒，并依法承担相应责任。</w:t>
      </w:r>
    </w:p>
    <w:p w14:paraId="480A2C1D">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五、承诺本单位自觉接受行政管理部门、行业组织、社会公众、新闻舆论的监督。 </w:t>
      </w:r>
    </w:p>
    <w:p w14:paraId="61EF8DDF">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六、承诺本单位自我约束、自我管理，重合同、守信用，不制假售假、商标侵权、虚假宣传、违约毁约、恶意逃债、偷税漏税、价格欺诈、垄断和不正当竞争，维护经营者、消费者的合法权益。 </w:t>
      </w:r>
    </w:p>
    <w:p w14:paraId="04FE752D">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七、承诺本单位在信用中国网站中无重大违法违规、较重或严重失信记录。 </w:t>
      </w:r>
    </w:p>
    <w:p w14:paraId="754605A2">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八、承诺本单位提出政府采购质疑和投诉坚持依法依规、诚实信用原则。</w:t>
      </w:r>
    </w:p>
    <w:p w14:paraId="32B8D28B">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九、根据政府采购相关法律法规的规定需要作出的其他承诺。 </w:t>
      </w:r>
    </w:p>
    <w:p w14:paraId="607E9F8A">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十、承诺本单位若违背承诺约定，经查实，愿意接受行业主管部门和信用管理部门相应的规定处罚，承担违约责任，并依法承担相应的法律责任。</w:t>
      </w:r>
    </w:p>
    <w:p w14:paraId="007DC85F">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十一、承诺本单位同意将以上承诺事项上网公示，违背承诺约定行为将作为失信信息，记录到常州市公共信用信息系统，并予以公开。</w:t>
      </w:r>
    </w:p>
    <w:p w14:paraId="7CB04281">
      <w:pPr>
        <w:pStyle w:val="272"/>
        <w:spacing w:line="276" w:lineRule="auto"/>
        <w:ind w:right="1050" w:firstLine="2880"/>
        <w:jc w:val="both"/>
        <w:rPr>
          <w:rFonts w:ascii="宋体" w:hAnsi="宋体" w:eastAsia="宋体"/>
          <w:color w:val="000000" w:themeColor="text1"/>
          <w:sz w:val="24"/>
          <w:szCs w:val="22"/>
          <w:highlight w:val="none"/>
          <w14:textFill>
            <w14:solidFill>
              <w14:schemeClr w14:val="tx1"/>
            </w14:solidFill>
          </w14:textFill>
        </w:rPr>
      </w:pPr>
    </w:p>
    <w:p w14:paraId="7D389EA6">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供应商名称（加盖公章）</w:t>
      </w:r>
      <w:r>
        <w:rPr>
          <w:color w:val="000000" w:themeColor="text1"/>
          <w:sz w:val="24"/>
          <w:highlight w:val="none"/>
          <w:lang w:val="zh-CN"/>
          <w14:textFill>
            <w14:solidFill>
              <w14:schemeClr w14:val="tx1"/>
            </w14:solidFill>
          </w14:textFill>
        </w:rPr>
        <w:t>：____________</w:t>
      </w:r>
    </w:p>
    <w:p w14:paraId="491CACE6">
      <w:pPr>
        <w:spacing w:before="25" w:after="25"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p>
    <w:p w14:paraId="142788BF">
      <w:pPr>
        <w:spacing w:line="360" w:lineRule="auto"/>
        <w:outlineLvl w:val="2"/>
        <w:rPr>
          <w:rFonts w:eastAsia="宋体"/>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br w:type="page" w:clear="all"/>
      </w:r>
      <w:r>
        <w:rPr>
          <w:color w:val="000000" w:themeColor="text1"/>
          <w:sz w:val="24"/>
          <w:szCs w:val="20"/>
          <w:highlight w:val="none"/>
          <w14:textFill>
            <w14:solidFill>
              <w14:schemeClr w14:val="tx1"/>
            </w14:solidFill>
          </w14:textFill>
        </w:rPr>
        <w:t>7  报价一览表</w:t>
      </w:r>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r>
        <w:rPr>
          <w:rFonts w:hint="eastAsia"/>
          <w:color w:val="000000" w:themeColor="text1"/>
          <w:sz w:val="24"/>
          <w:szCs w:val="20"/>
          <w:highlight w:val="none"/>
          <w:lang w:val="en-US" w:eastAsia="zh-CN"/>
          <w14:textFill>
            <w14:solidFill>
              <w14:schemeClr w14:val="tx1"/>
            </w14:solidFill>
          </w14:textFill>
        </w:rPr>
        <w:t>及分项报价表</w:t>
      </w:r>
      <w:r>
        <w:rPr>
          <w:color w:val="000000" w:themeColor="text1"/>
          <w:sz w:val="24"/>
          <w:szCs w:val="20"/>
          <w:highlight w:val="none"/>
          <w14:textFill>
            <w14:solidFill>
              <w14:schemeClr w14:val="tx1"/>
            </w14:solidFill>
          </w14:textFill>
        </w:rPr>
        <w:t>（实质性格式）</w:t>
      </w:r>
    </w:p>
    <w:p w14:paraId="63C6241A">
      <w:pPr>
        <w:jc w:val="center"/>
        <w:rPr>
          <w:b/>
          <w:color w:val="000000" w:themeColor="text1"/>
          <w:sz w:val="36"/>
          <w:szCs w:val="36"/>
          <w:highlight w:val="none"/>
          <w14:textFill>
            <w14:solidFill>
              <w14:schemeClr w14:val="tx1"/>
            </w14:solidFill>
          </w14:textFill>
        </w:rPr>
      </w:pPr>
      <w:bookmarkStart w:id="745" w:name="_Toc195842923"/>
      <w:bookmarkStart w:id="746" w:name="_Toc305158900"/>
      <w:bookmarkStart w:id="747" w:name="_Toc226337254"/>
      <w:bookmarkStart w:id="748" w:name="_Toc226309802"/>
      <w:bookmarkStart w:id="749" w:name="_Toc226965831"/>
      <w:bookmarkStart w:id="750" w:name="_Toc226965748"/>
      <w:bookmarkStart w:id="751" w:name="_Toc264969248"/>
      <w:bookmarkStart w:id="752" w:name="_Toc265228396"/>
      <w:bookmarkStart w:id="753" w:name="_Toc164608672"/>
      <w:bookmarkStart w:id="754" w:name="_Toc305158826"/>
      <w:bookmarkStart w:id="755" w:name="_Toc164608827"/>
      <w:r>
        <w:rPr>
          <w:rFonts w:hint="eastAsia"/>
          <w:b/>
          <w:color w:val="000000" w:themeColor="text1"/>
          <w:sz w:val="36"/>
          <w:szCs w:val="36"/>
          <w:highlight w:val="none"/>
          <w14:textFill>
            <w14:solidFill>
              <w14:schemeClr w14:val="tx1"/>
            </w14:solidFill>
          </w14:textFill>
        </w:rPr>
        <w:t>报价一览表</w:t>
      </w:r>
      <w:bookmarkEnd w:id="745"/>
      <w:bookmarkEnd w:id="746"/>
      <w:bookmarkEnd w:id="747"/>
      <w:bookmarkEnd w:id="748"/>
      <w:bookmarkEnd w:id="749"/>
      <w:bookmarkEnd w:id="750"/>
      <w:bookmarkEnd w:id="751"/>
      <w:bookmarkEnd w:id="752"/>
      <w:bookmarkEnd w:id="753"/>
      <w:bookmarkEnd w:id="754"/>
      <w:bookmarkEnd w:id="755"/>
    </w:p>
    <w:p w14:paraId="5D800107">
      <w:pPr>
        <w:tabs>
          <w:tab w:val="left" w:pos="1800"/>
          <w:tab w:val="left" w:pos="5580"/>
        </w:tabs>
        <w:spacing w:line="360" w:lineRule="auto"/>
        <w:jc w:val="left"/>
        <w:rPr>
          <w:color w:val="000000" w:themeColor="text1"/>
          <w:sz w:val="24"/>
          <w:highlight w:val="none"/>
          <w14:textFill>
            <w14:solidFill>
              <w14:schemeClr w14:val="tx1"/>
            </w14:solidFill>
          </w14:textFill>
        </w:rPr>
      </w:pPr>
    </w:p>
    <w:p w14:paraId="1CD682AF">
      <w:pPr>
        <w:tabs>
          <w:tab w:val="left" w:pos="1800"/>
          <w:tab w:val="left" w:pos="5580"/>
        </w:tabs>
        <w:spacing w:line="360" w:lineRule="auto"/>
        <w:ind w:firstLine="240"/>
        <w:jc w:val="left"/>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项目编号/包号：_____________________     项目名称：_______________________</w:t>
      </w:r>
    </w:p>
    <w:tbl>
      <w:tblPr>
        <w:tblStyle w:val="30"/>
        <w:tblW w:w="10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63"/>
        <w:gridCol w:w="2956"/>
        <w:gridCol w:w="6236"/>
      </w:tblGrid>
      <w:tr w14:paraId="00AB8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98" w:hRule="atLeast"/>
          <w:jc w:val="center"/>
        </w:trPr>
        <w:tc>
          <w:tcPr>
            <w:tcW w:w="963" w:type="dxa"/>
            <w:tcBorders>
              <w:top w:val="single" w:color="auto" w:sz="4" w:space="0"/>
              <w:left w:val="single" w:color="auto" w:sz="4" w:space="0"/>
              <w:bottom w:val="single" w:color="auto" w:sz="4" w:space="0"/>
              <w:right w:val="single" w:color="auto" w:sz="4" w:space="0"/>
            </w:tcBorders>
            <w:noWrap w:val="0"/>
            <w:vAlign w:val="center"/>
          </w:tcPr>
          <w:p w14:paraId="31E30BA1">
            <w:pPr>
              <w:tabs>
                <w:tab w:val="left" w:pos="5580"/>
              </w:tabs>
              <w:jc w:val="center"/>
              <w:rPr>
                <w:rFonts w:hint="default"/>
                <w:b/>
                <w:sz w:val="24"/>
                <w:highlight w:val="none"/>
              </w:rPr>
            </w:pPr>
            <w:r>
              <w:rPr>
                <w:rFonts w:hint="eastAsia"/>
                <w:b/>
                <w:sz w:val="24"/>
                <w:highlight w:val="none"/>
              </w:rPr>
              <w:t>序号</w:t>
            </w:r>
          </w:p>
        </w:tc>
        <w:tc>
          <w:tcPr>
            <w:tcW w:w="2956" w:type="dxa"/>
            <w:tcBorders>
              <w:top w:val="single" w:color="auto" w:sz="4" w:space="0"/>
              <w:left w:val="single" w:color="auto" w:sz="4" w:space="0"/>
              <w:bottom w:val="single" w:color="auto" w:sz="4" w:space="0"/>
              <w:right w:val="single" w:color="auto" w:sz="4" w:space="0"/>
            </w:tcBorders>
            <w:noWrap w:val="0"/>
            <w:vAlign w:val="center"/>
          </w:tcPr>
          <w:p w14:paraId="53051C01">
            <w:pPr>
              <w:tabs>
                <w:tab w:val="left" w:pos="5580"/>
              </w:tabs>
              <w:jc w:val="center"/>
              <w:rPr>
                <w:rFonts w:hint="default"/>
                <w:b/>
                <w:sz w:val="24"/>
                <w:highlight w:val="none"/>
              </w:rPr>
            </w:pPr>
            <w:r>
              <w:rPr>
                <w:rFonts w:hint="eastAsia"/>
                <w:b/>
                <w:sz w:val="24"/>
                <w:highlight w:val="none"/>
              </w:rPr>
              <w:t>供应商名称</w:t>
            </w:r>
          </w:p>
        </w:tc>
        <w:tc>
          <w:tcPr>
            <w:tcW w:w="6236" w:type="dxa"/>
            <w:tcBorders>
              <w:top w:val="single" w:color="auto" w:sz="4" w:space="0"/>
              <w:left w:val="single" w:color="auto" w:sz="4" w:space="0"/>
              <w:bottom w:val="single" w:color="auto" w:sz="4" w:space="0"/>
              <w:right w:val="single" w:color="auto" w:sz="4" w:space="0"/>
            </w:tcBorders>
            <w:noWrap w:val="0"/>
            <w:vAlign w:val="center"/>
          </w:tcPr>
          <w:p w14:paraId="40D3BD91">
            <w:pPr>
              <w:tabs>
                <w:tab w:val="left" w:pos="5580"/>
              </w:tabs>
              <w:jc w:val="center"/>
              <w:rPr>
                <w:rFonts w:hint="eastAsia"/>
                <w:b/>
                <w:sz w:val="24"/>
                <w:highlight w:val="none"/>
                <w:lang w:eastAsia="zh-CN"/>
              </w:rPr>
            </w:pPr>
            <w:r>
              <w:rPr>
                <w:rFonts w:hint="eastAsia"/>
                <w:b/>
                <w:sz w:val="24"/>
                <w:highlight w:val="none"/>
                <w:lang w:eastAsia="zh-CN"/>
              </w:rPr>
              <w:t>投标总价</w:t>
            </w:r>
          </w:p>
        </w:tc>
      </w:tr>
      <w:tr w14:paraId="6E22F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31" w:hRule="atLeast"/>
          <w:jc w:val="center"/>
        </w:trPr>
        <w:tc>
          <w:tcPr>
            <w:tcW w:w="963" w:type="dxa"/>
            <w:tcBorders>
              <w:top w:val="single" w:color="auto" w:sz="4" w:space="0"/>
              <w:left w:val="single" w:color="auto" w:sz="4" w:space="0"/>
              <w:bottom w:val="single" w:color="auto" w:sz="4" w:space="0"/>
              <w:right w:val="single" w:color="auto" w:sz="4" w:space="0"/>
            </w:tcBorders>
            <w:noWrap w:val="0"/>
            <w:vAlign w:val="center"/>
          </w:tcPr>
          <w:p w14:paraId="45A29A7F">
            <w:pPr>
              <w:tabs>
                <w:tab w:val="left" w:pos="5580"/>
              </w:tabs>
              <w:jc w:val="center"/>
              <w:rPr>
                <w:rFonts w:hint="default"/>
                <w:sz w:val="24"/>
                <w:highlight w:val="none"/>
              </w:rPr>
            </w:pPr>
          </w:p>
        </w:tc>
        <w:tc>
          <w:tcPr>
            <w:tcW w:w="2956" w:type="dxa"/>
            <w:tcBorders>
              <w:top w:val="single" w:color="auto" w:sz="4" w:space="0"/>
              <w:left w:val="single" w:color="auto" w:sz="4" w:space="0"/>
              <w:bottom w:val="single" w:color="auto" w:sz="4" w:space="0"/>
              <w:right w:val="single" w:color="auto" w:sz="4" w:space="0"/>
            </w:tcBorders>
            <w:noWrap w:val="0"/>
            <w:vAlign w:val="center"/>
          </w:tcPr>
          <w:p w14:paraId="562DDCD9">
            <w:pPr>
              <w:tabs>
                <w:tab w:val="left" w:pos="5580"/>
              </w:tabs>
              <w:jc w:val="center"/>
              <w:rPr>
                <w:rFonts w:hint="default"/>
                <w:sz w:val="24"/>
                <w:highlight w:val="none"/>
              </w:rPr>
            </w:pPr>
          </w:p>
        </w:tc>
        <w:tc>
          <w:tcPr>
            <w:tcW w:w="6236" w:type="dxa"/>
            <w:tcBorders>
              <w:top w:val="single" w:color="auto" w:sz="4" w:space="0"/>
              <w:left w:val="single" w:color="auto" w:sz="4" w:space="0"/>
              <w:bottom w:val="single" w:color="auto" w:sz="4" w:space="0"/>
              <w:right w:val="single" w:color="auto" w:sz="4" w:space="0"/>
            </w:tcBorders>
            <w:noWrap w:val="0"/>
            <w:vAlign w:val="center"/>
          </w:tcPr>
          <w:p w14:paraId="75B40BB2">
            <w:pPr>
              <w:tabs>
                <w:tab w:val="left" w:pos="5580"/>
              </w:tabs>
              <w:jc w:val="center"/>
              <w:rPr>
                <w:rFonts w:hint="default"/>
                <w:sz w:val="24"/>
                <w:highlight w:val="none"/>
              </w:rPr>
            </w:pPr>
          </w:p>
        </w:tc>
      </w:tr>
    </w:tbl>
    <w:p w14:paraId="4286F18C">
      <w:pPr>
        <w:jc w:val="left"/>
        <w:rPr>
          <w:color w:val="000000" w:themeColor="text1"/>
          <w:sz w:val="24"/>
          <w:highlight w:val="none"/>
          <w14:textFill>
            <w14:solidFill>
              <w14:schemeClr w14:val="tx1"/>
            </w14:solidFill>
          </w14:textFill>
        </w:rPr>
      </w:pPr>
    </w:p>
    <w:p w14:paraId="6F774E55">
      <w:pPr>
        <w:spacing w:before="25" w:after="25" w:line="360" w:lineRule="auto"/>
        <w:rPr>
          <w:color w:val="000000" w:themeColor="text1"/>
          <w:sz w:val="24"/>
          <w:highlight w:val="none"/>
          <w14:textFill>
            <w14:solidFill>
              <w14:schemeClr w14:val="tx1"/>
            </w14:solidFill>
          </w14:textFill>
        </w:rPr>
      </w:pPr>
    </w:p>
    <w:p w14:paraId="78E2718E">
      <w:pPr>
        <w:spacing w:before="25" w:after="25" w:line="360" w:lineRule="auto"/>
        <w:rPr>
          <w:rFonts w:hint="eastAsia" w:ascii="Times New Roman" w:hAnsi="Times New Roman" w:eastAsia="宋体" w:cs="Times New Roman"/>
          <w:color w:val="000000"/>
          <w:sz w:val="24"/>
          <w:highlight w:val="none"/>
          <w:lang w:val="zh-CN" w:eastAsia="zh-CN"/>
        </w:rPr>
      </w:pPr>
      <w:r>
        <w:rPr>
          <w:rFonts w:hint="eastAsia"/>
          <w:color w:val="000000"/>
          <w:sz w:val="24"/>
          <w:highlight w:val="none"/>
          <w:lang w:val="zh-CN"/>
        </w:rPr>
        <w:t>注：</w:t>
      </w:r>
      <w:r>
        <w:rPr>
          <w:rFonts w:hint="eastAsia" w:ascii="Times New Roman" w:hAnsi="Times New Roman" w:eastAsia="宋体" w:cs="Times New Roman"/>
          <w:color w:val="000000"/>
          <w:sz w:val="24"/>
          <w:highlight w:val="none"/>
          <w:lang w:val="zh-CN" w:eastAsia="zh-CN"/>
        </w:rPr>
        <w:t>1.供应商在提交投标文件时，应按照投标工具（苏采云客户端）的提示流程编制提交开标一览表，开标一览表格式以投标工具中的为准。</w:t>
      </w:r>
    </w:p>
    <w:p w14:paraId="51B96962">
      <w:pPr>
        <w:spacing w:before="25" w:after="25" w:line="360" w:lineRule="auto"/>
        <w:rPr>
          <w:rFonts w:hint="eastAsia" w:ascii="Times New Roman" w:hAnsi="Times New Roman" w:eastAsia="宋体" w:cs="Times New Roman"/>
          <w:color w:val="000000"/>
          <w:sz w:val="24"/>
          <w:highlight w:val="none"/>
          <w:lang w:val="zh-CN" w:eastAsia="zh-CN"/>
        </w:rPr>
      </w:pPr>
    </w:p>
    <w:p w14:paraId="7D8F2FC3">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供应商名称（加盖公章）</w:t>
      </w:r>
      <w:r>
        <w:rPr>
          <w:color w:val="000000" w:themeColor="text1"/>
          <w:sz w:val="24"/>
          <w:highlight w:val="none"/>
          <w:lang w:val="zh-CN"/>
          <w14:textFill>
            <w14:solidFill>
              <w14:schemeClr w14:val="tx1"/>
            </w14:solidFill>
          </w14:textFill>
        </w:rPr>
        <w:t>：____________</w:t>
      </w:r>
    </w:p>
    <w:p w14:paraId="386FDEA5">
      <w:pPr>
        <w:spacing w:before="25" w:after="25"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p>
    <w:p w14:paraId="280BA1EF">
      <w:pPr>
        <w:widowControl/>
        <w:jc w:val="left"/>
        <w:rPr>
          <w:color w:val="000000" w:themeColor="text1"/>
          <w:sz w:val="24"/>
          <w:szCs w:val="20"/>
          <w:highlight w:val="none"/>
          <w14:textFill>
            <w14:solidFill>
              <w14:schemeClr w14:val="tx1"/>
            </w14:solidFill>
          </w14:textFill>
        </w:rPr>
      </w:pPr>
      <w:bookmarkStart w:id="756" w:name="_Toc226309803"/>
      <w:bookmarkStart w:id="757" w:name="_Toc127151558"/>
      <w:bookmarkStart w:id="758" w:name="_Toc264969249"/>
      <w:bookmarkStart w:id="759" w:name="_Toc226965832"/>
      <w:bookmarkStart w:id="760" w:name="_Toc195842924"/>
      <w:bookmarkStart w:id="761" w:name="_Toc142311060"/>
      <w:bookmarkStart w:id="762" w:name="_Toc305158827"/>
      <w:bookmarkStart w:id="763" w:name="_Toc150774763"/>
      <w:bookmarkStart w:id="764" w:name="_Toc265228397"/>
      <w:bookmarkStart w:id="765" w:name="_Toc226965749"/>
      <w:bookmarkStart w:id="766" w:name="_Toc150480796"/>
      <w:bookmarkStart w:id="767" w:name="_Toc226337255"/>
      <w:bookmarkStart w:id="768" w:name="_Toc305158901"/>
    </w:p>
    <w:p w14:paraId="04FE8286">
      <w:pPr>
        <w:spacing w:line="400" w:lineRule="exact"/>
        <w:rPr>
          <w:rFonts w:hint="default" w:ascii="微软雅黑" w:hAnsi="微软雅黑" w:eastAsia="宋体" w:cs="微软雅黑"/>
          <w:bCs/>
          <w:kern w:val="2"/>
          <w:szCs w:val="21"/>
          <w:highlight w:val="none"/>
        </w:rPr>
      </w:pPr>
      <w:r>
        <w:rPr>
          <w:rFonts w:hint="default" w:ascii="Times New Roman" w:hAnsi="Times New Roman" w:eastAsia="宋体" w:cs="Times New Roman"/>
          <w:color w:val="000000"/>
          <w:kern w:val="2"/>
          <w:sz w:val="24"/>
          <w:szCs w:val="20"/>
          <w:highlight w:val="none"/>
        </w:rPr>
        <w:t>分项报价表</w:t>
      </w:r>
      <w:r>
        <w:rPr>
          <w:rFonts w:hint="eastAsia" w:ascii="宋体" w:hAnsi="宋体" w:eastAsia="宋体" w:cs="宋体"/>
          <w:color w:val="000000"/>
          <w:kern w:val="2"/>
          <w:szCs w:val="21"/>
          <w:highlight w:val="none"/>
        </w:rPr>
        <w:t xml:space="preserve">         </w:t>
      </w:r>
    </w:p>
    <w:p w14:paraId="6850926E">
      <w:pPr>
        <w:spacing w:line="400" w:lineRule="exact"/>
        <w:jc w:val="center"/>
        <w:rPr>
          <w:rFonts w:hint="eastAsia" w:ascii="宋体" w:hAnsi="宋体" w:eastAsia="宋体" w:cs="宋体"/>
          <w:color w:val="C00000"/>
          <w:kern w:val="2"/>
          <w:szCs w:val="21"/>
          <w:highlight w:val="none"/>
        </w:rPr>
      </w:pPr>
    </w:p>
    <w:tbl>
      <w:tblPr>
        <w:tblStyle w:val="30"/>
        <w:tblW w:w="921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64"/>
        <w:gridCol w:w="2106"/>
        <w:gridCol w:w="1480"/>
        <w:gridCol w:w="918"/>
        <w:gridCol w:w="899"/>
        <w:gridCol w:w="918"/>
        <w:gridCol w:w="1104"/>
        <w:gridCol w:w="1227"/>
      </w:tblGrid>
      <w:tr w14:paraId="76926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6" w:hRule="atLeast"/>
        </w:trPr>
        <w:tc>
          <w:tcPr>
            <w:tcW w:w="564" w:type="dxa"/>
            <w:tcBorders>
              <w:top w:val="single" w:color="000000" w:sz="4" w:space="0"/>
              <w:left w:val="single" w:color="000000" w:sz="4" w:space="0"/>
              <w:bottom w:val="single" w:color="000000" w:sz="4" w:space="0"/>
              <w:right w:val="single" w:color="000000" w:sz="4" w:space="0"/>
            </w:tcBorders>
            <w:noWrap w:val="0"/>
            <w:vAlign w:val="center"/>
          </w:tcPr>
          <w:p w14:paraId="293DEC71">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2106" w:type="dxa"/>
            <w:tcBorders>
              <w:top w:val="single" w:color="000000" w:sz="4" w:space="0"/>
              <w:left w:val="single" w:color="000000" w:sz="4" w:space="0"/>
              <w:bottom w:val="single" w:color="000000" w:sz="4" w:space="0"/>
              <w:right w:val="single" w:color="000000" w:sz="4" w:space="0"/>
            </w:tcBorders>
            <w:noWrap w:val="0"/>
            <w:vAlign w:val="center"/>
          </w:tcPr>
          <w:p w14:paraId="45E23F5C">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项目名称</w:t>
            </w:r>
          </w:p>
        </w:tc>
        <w:tc>
          <w:tcPr>
            <w:tcW w:w="1480" w:type="dxa"/>
            <w:tcBorders>
              <w:top w:val="single" w:color="000000" w:sz="4" w:space="0"/>
              <w:left w:val="single" w:color="000000" w:sz="4" w:space="0"/>
              <w:bottom w:val="single" w:color="000000" w:sz="4" w:space="0"/>
              <w:right w:val="single" w:color="000000" w:sz="4" w:space="0"/>
            </w:tcBorders>
            <w:noWrap w:val="0"/>
            <w:vAlign w:val="center"/>
          </w:tcPr>
          <w:p w14:paraId="07BE9275">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区域</w:t>
            </w:r>
          </w:p>
        </w:tc>
        <w:tc>
          <w:tcPr>
            <w:tcW w:w="918" w:type="dxa"/>
            <w:tcBorders>
              <w:top w:val="single" w:color="000000" w:sz="4" w:space="0"/>
              <w:left w:val="single" w:color="000000" w:sz="4" w:space="0"/>
              <w:bottom w:val="single" w:color="000000" w:sz="4" w:space="0"/>
              <w:right w:val="single" w:color="000000" w:sz="4" w:space="0"/>
            </w:tcBorders>
            <w:noWrap w:val="0"/>
            <w:vAlign w:val="center"/>
          </w:tcPr>
          <w:p w14:paraId="57C8AF3D">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面积（m2）</w:t>
            </w:r>
          </w:p>
        </w:tc>
        <w:tc>
          <w:tcPr>
            <w:tcW w:w="899" w:type="dxa"/>
            <w:tcBorders>
              <w:top w:val="single" w:color="000000" w:sz="4" w:space="0"/>
              <w:left w:val="single" w:color="000000" w:sz="4" w:space="0"/>
              <w:bottom w:val="single" w:color="000000" w:sz="4" w:space="0"/>
              <w:right w:val="single" w:color="000000" w:sz="4" w:space="0"/>
            </w:tcBorders>
            <w:noWrap w:val="0"/>
            <w:vAlign w:val="center"/>
          </w:tcPr>
          <w:p w14:paraId="490C3488">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绿地等级</w:t>
            </w:r>
          </w:p>
        </w:tc>
        <w:tc>
          <w:tcPr>
            <w:tcW w:w="918" w:type="dxa"/>
            <w:tcBorders>
              <w:top w:val="single" w:color="000000" w:sz="4" w:space="0"/>
              <w:left w:val="single" w:color="000000" w:sz="4" w:space="0"/>
              <w:bottom w:val="single" w:color="000000" w:sz="4" w:space="0"/>
              <w:right w:val="single" w:color="000000" w:sz="4" w:space="0"/>
            </w:tcBorders>
            <w:noWrap w:val="0"/>
            <w:vAlign w:val="center"/>
          </w:tcPr>
          <w:p w14:paraId="2B6D51BB">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单价（元）</w:t>
            </w:r>
          </w:p>
        </w:tc>
        <w:tc>
          <w:tcPr>
            <w:tcW w:w="1104" w:type="dxa"/>
            <w:tcBorders>
              <w:top w:val="single" w:color="000000" w:sz="4" w:space="0"/>
              <w:left w:val="single" w:color="000000" w:sz="4" w:space="0"/>
              <w:bottom w:val="single" w:color="000000" w:sz="4" w:space="0"/>
              <w:right w:val="single" w:color="000000" w:sz="4" w:space="0"/>
            </w:tcBorders>
            <w:noWrap w:val="0"/>
            <w:vAlign w:val="center"/>
          </w:tcPr>
          <w:p w14:paraId="6F9A6CC9">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合价（元）</w:t>
            </w:r>
          </w:p>
        </w:tc>
        <w:tc>
          <w:tcPr>
            <w:tcW w:w="1227" w:type="dxa"/>
            <w:tcBorders>
              <w:top w:val="single" w:color="000000" w:sz="4" w:space="0"/>
              <w:left w:val="single" w:color="000000" w:sz="4" w:space="0"/>
              <w:bottom w:val="single" w:color="000000" w:sz="4" w:space="0"/>
              <w:right w:val="single" w:color="000000" w:sz="4" w:space="0"/>
            </w:tcBorders>
            <w:noWrap w:val="0"/>
            <w:vAlign w:val="center"/>
          </w:tcPr>
          <w:p w14:paraId="62BC4481">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备注</w:t>
            </w:r>
          </w:p>
        </w:tc>
      </w:tr>
      <w:tr w14:paraId="49D60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6"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273FCA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FFFEBD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集镇、园区绿化养护</w:t>
            </w:r>
          </w:p>
        </w:tc>
        <w:tc>
          <w:tcPr>
            <w:tcW w:w="1480" w:type="dxa"/>
            <w:tcBorders>
              <w:top w:val="single" w:color="000000" w:sz="4" w:space="0"/>
              <w:left w:val="single" w:color="000000" w:sz="4" w:space="0"/>
              <w:bottom w:val="single" w:color="000000" w:sz="4" w:space="0"/>
              <w:right w:val="single" w:color="000000" w:sz="4" w:space="0"/>
            </w:tcBorders>
            <w:noWrap w:val="0"/>
            <w:vAlign w:val="center"/>
          </w:tcPr>
          <w:p w14:paraId="2FFEAFA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见明细表</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6FD5AB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114150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396DBD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四级</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DC7F41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6B990D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227" w:type="dxa"/>
            <w:tcBorders>
              <w:top w:val="single" w:color="000000" w:sz="4" w:space="0"/>
              <w:left w:val="single" w:color="000000" w:sz="4" w:space="0"/>
              <w:bottom w:val="single" w:color="000000" w:sz="4" w:space="0"/>
              <w:right w:val="single" w:color="000000" w:sz="4" w:space="0"/>
            </w:tcBorders>
            <w:noWrap w:val="0"/>
            <w:vAlign w:val="center"/>
          </w:tcPr>
          <w:p w14:paraId="47EDC32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按实计量</w:t>
            </w:r>
          </w:p>
        </w:tc>
      </w:tr>
      <w:tr w14:paraId="0133A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43294D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w:t>
            </w:r>
          </w:p>
        </w:tc>
        <w:tc>
          <w:tcPr>
            <w:tcW w:w="2106" w:type="dxa"/>
            <w:tcBorders>
              <w:top w:val="single" w:color="000000" w:sz="4" w:space="0"/>
              <w:left w:val="single" w:color="000000" w:sz="4" w:space="0"/>
              <w:bottom w:val="single" w:color="000000" w:sz="4" w:space="0"/>
              <w:right w:val="single" w:color="000000" w:sz="4" w:space="0"/>
            </w:tcBorders>
            <w:noWrap w:val="0"/>
            <w:vAlign w:val="center"/>
          </w:tcPr>
          <w:p w14:paraId="5D4DBDC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修剪、除草（养护期中的一次性费用）</w:t>
            </w:r>
          </w:p>
        </w:tc>
        <w:tc>
          <w:tcPr>
            <w:tcW w:w="1480" w:type="dxa"/>
            <w:tcBorders>
              <w:top w:val="single" w:color="000000" w:sz="4" w:space="0"/>
              <w:left w:val="single" w:color="000000" w:sz="4" w:space="0"/>
              <w:bottom w:val="single" w:color="000000" w:sz="4" w:space="0"/>
              <w:right w:val="single" w:color="000000" w:sz="4" w:space="0"/>
            </w:tcBorders>
            <w:noWrap w:val="0"/>
            <w:vAlign w:val="center"/>
          </w:tcPr>
          <w:p w14:paraId="1E32048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EE52FB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94100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DFCFB8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5B4F36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FFB9B0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227" w:type="dxa"/>
            <w:tcBorders>
              <w:top w:val="single" w:color="000000" w:sz="4" w:space="0"/>
              <w:left w:val="single" w:color="000000" w:sz="4" w:space="0"/>
              <w:bottom w:val="single" w:color="000000" w:sz="4" w:space="0"/>
              <w:right w:val="single" w:color="000000" w:sz="4" w:space="0"/>
            </w:tcBorders>
            <w:noWrap w:val="0"/>
            <w:vAlign w:val="center"/>
          </w:tcPr>
          <w:p w14:paraId="57D0BFE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按实计量、只计一次</w:t>
            </w:r>
          </w:p>
        </w:tc>
      </w:tr>
      <w:tr w14:paraId="7EEB89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82E2C8D">
            <w:pPr>
              <w:jc w:val="center"/>
              <w:rPr>
                <w:rFonts w:hint="eastAsia" w:ascii="宋体" w:hAnsi="宋体" w:eastAsia="宋体" w:cs="宋体"/>
                <w:b/>
                <w:bCs/>
                <w:i w:val="0"/>
                <w:iCs w:val="0"/>
                <w:color w:val="000000"/>
                <w:kern w:val="2"/>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8512CAB">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小计</w:t>
            </w:r>
          </w:p>
        </w:tc>
        <w:tc>
          <w:tcPr>
            <w:tcW w:w="1480" w:type="dxa"/>
            <w:tcBorders>
              <w:top w:val="single" w:color="000000" w:sz="4" w:space="0"/>
              <w:left w:val="single" w:color="000000" w:sz="4" w:space="0"/>
              <w:bottom w:val="single" w:color="000000" w:sz="4" w:space="0"/>
              <w:right w:val="single" w:color="000000" w:sz="4" w:space="0"/>
            </w:tcBorders>
            <w:noWrap w:val="0"/>
            <w:vAlign w:val="center"/>
          </w:tcPr>
          <w:p w14:paraId="3D31666C">
            <w:pPr>
              <w:jc w:val="center"/>
              <w:rPr>
                <w:rFonts w:hint="eastAsia" w:ascii="宋体" w:hAnsi="宋体" w:eastAsia="宋体" w:cs="宋体"/>
                <w:b/>
                <w:bCs/>
                <w:i w:val="0"/>
                <w:iCs w:val="0"/>
                <w:color w:val="000000"/>
                <w:kern w:val="2"/>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F87FDB5">
            <w:pPr>
              <w:jc w:val="center"/>
              <w:rPr>
                <w:rFonts w:hint="eastAsia" w:ascii="宋体" w:hAnsi="宋体" w:eastAsia="宋体" w:cs="宋体"/>
                <w:b/>
                <w:bCs/>
                <w:i w:val="0"/>
                <w:iCs w:val="0"/>
                <w:color w:val="FF0000"/>
                <w:kern w:val="2"/>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57EE9FA">
            <w:pPr>
              <w:jc w:val="center"/>
              <w:rPr>
                <w:rFonts w:hint="eastAsia" w:ascii="宋体" w:hAnsi="宋体" w:eastAsia="宋体" w:cs="宋体"/>
                <w:b/>
                <w:bCs/>
                <w:i w:val="0"/>
                <w:iCs w:val="0"/>
                <w:color w:val="FF0000"/>
                <w:kern w:val="2"/>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561ECA1">
            <w:pPr>
              <w:jc w:val="center"/>
              <w:rPr>
                <w:rFonts w:hint="eastAsia" w:ascii="宋体" w:hAnsi="宋体" w:eastAsia="宋体" w:cs="宋体"/>
                <w:i w:val="0"/>
                <w:iCs w:val="0"/>
                <w:color w:val="000000"/>
                <w:kern w:val="2"/>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F0E4786">
            <w:pPr>
              <w:keepNext w:val="0"/>
              <w:keepLines w:val="0"/>
              <w:widowControl/>
              <w:suppressLineNumbers w:val="0"/>
              <w:jc w:val="center"/>
              <w:textAlignment w:val="center"/>
              <w:rPr>
                <w:rFonts w:hint="eastAsia" w:ascii="宋体" w:hAnsi="宋体" w:eastAsia="宋体" w:cs="宋体"/>
                <w:b/>
                <w:bCs/>
                <w:i w:val="0"/>
                <w:iCs w:val="0"/>
                <w:color w:val="FF0000"/>
                <w:kern w:val="2"/>
                <w:sz w:val="22"/>
                <w:szCs w:val="22"/>
                <w:highlight w:val="none"/>
                <w:u w:val="none"/>
              </w:rPr>
            </w:pPr>
          </w:p>
        </w:tc>
        <w:tc>
          <w:tcPr>
            <w:tcW w:w="1227" w:type="dxa"/>
            <w:tcBorders>
              <w:top w:val="single" w:color="000000" w:sz="4" w:space="0"/>
              <w:left w:val="single" w:color="000000" w:sz="4" w:space="0"/>
              <w:bottom w:val="single" w:color="000000" w:sz="4" w:space="0"/>
              <w:right w:val="single" w:color="000000" w:sz="4" w:space="0"/>
            </w:tcBorders>
            <w:noWrap w:val="0"/>
            <w:vAlign w:val="center"/>
          </w:tcPr>
          <w:p w14:paraId="7CB812A8">
            <w:pPr>
              <w:rPr>
                <w:rFonts w:hint="eastAsia" w:ascii="宋体" w:hAnsi="宋体" w:eastAsia="宋体" w:cs="宋体"/>
                <w:i w:val="0"/>
                <w:iCs w:val="0"/>
                <w:color w:val="000000"/>
                <w:kern w:val="2"/>
                <w:sz w:val="22"/>
                <w:szCs w:val="22"/>
                <w:highlight w:val="none"/>
                <w:u w:val="none"/>
              </w:rPr>
            </w:pPr>
          </w:p>
        </w:tc>
      </w:tr>
    </w:tbl>
    <w:p w14:paraId="41A704DC">
      <w:pPr>
        <w:spacing w:line="400" w:lineRule="exact"/>
        <w:jc w:val="center"/>
        <w:rPr>
          <w:rFonts w:hint="eastAsia" w:ascii="宋体" w:hAnsi="宋体" w:eastAsia="宋体" w:cs="宋体"/>
          <w:color w:val="C00000"/>
          <w:kern w:val="2"/>
          <w:szCs w:val="21"/>
          <w:highlight w:val="none"/>
        </w:rPr>
      </w:pPr>
    </w:p>
    <w:p w14:paraId="00715D9A">
      <w:pPr>
        <w:spacing w:line="400" w:lineRule="exact"/>
        <w:jc w:val="center"/>
        <w:rPr>
          <w:rFonts w:hint="eastAsia" w:ascii="宋体" w:hAnsi="宋体" w:eastAsia="宋体" w:cs="宋体"/>
          <w:color w:val="C00000"/>
          <w:kern w:val="2"/>
          <w:szCs w:val="21"/>
          <w:highlight w:val="none"/>
        </w:rPr>
      </w:pPr>
    </w:p>
    <w:p w14:paraId="2ADEE327">
      <w:pPr>
        <w:spacing w:line="400" w:lineRule="exact"/>
        <w:jc w:val="center"/>
        <w:rPr>
          <w:rFonts w:hint="eastAsia" w:ascii="宋体" w:hAnsi="宋体" w:eastAsia="宋体" w:cs="宋体"/>
          <w:color w:val="C00000"/>
          <w:kern w:val="2"/>
          <w:szCs w:val="21"/>
          <w:highlight w:val="none"/>
        </w:rPr>
      </w:pPr>
    </w:p>
    <w:p w14:paraId="7046B118">
      <w:pPr>
        <w:spacing w:line="400" w:lineRule="exact"/>
        <w:jc w:val="center"/>
        <w:rPr>
          <w:rFonts w:hint="eastAsia" w:ascii="宋体" w:hAnsi="宋体" w:eastAsia="宋体" w:cs="宋体"/>
          <w:color w:val="C00000"/>
          <w:kern w:val="2"/>
          <w:szCs w:val="21"/>
          <w:highlight w:val="none"/>
        </w:rPr>
      </w:pPr>
    </w:p>
    <w:p w14:paraId="0352A242">
      <w:pPr>
        <w:autoSpaceDE w:val="0"/>
        <w:autoSpaceDN w:val="0"/>
        <w:adjustRightInd w:val="0"/>
        <w:snapToGrid w:val="0"/>
        <w:spacing w:before="25" w:after="25" w:line="360" w:lineRule="auto"/>
        <w:rPr>
          <w:rFonts w:hint="default" w:ascii="Times New Roman" w:hAnsi="Times New Roman" w:eastAsia="宋体" w:cs="Times New Roman"/>
          <w:color w:val="000000"/>
          <w:kern w:val="2"/>
          <w:sz w:val="24"/>
          <w:highlight w:val="none"/>
          <w:lang w:val="zh-CN"/>
        </w:rPr>
      </w:pPr>
      <w:r>
        <w:rPr>
          <w:rFonts w:hint="default" w:ascii="Times New Roman" w:hAnsi="Times New Roman" w:eastAsia="宋体" w:cs="Times New Roman"/>
          <w:color w:val="000000"/>
          <w:kern w:val="2"/>
          <w:sz w:val="24"/>
          <w:highlight w:val="none"/>
        </w:rPr>
        <w:t>供应商名称（加盖公章）</w:t>
      </w:r>
      <w:r>
        <w:rPr>
          <w:rFonts w:hint="default" w:ascii="Times New Roman" w:hAnsi="Times New Roman" w:eastAsia="宋体" w:cs="Times New Roman"/>
          <w:color w:val="000000"/>
          <w:kern w:val="2"/>
          <w:sz w:val="24"/>
          <w:highlight w:val="none"/>
          <w:lang w:val="zh-CN"/>
        </w:rPr>
        <w:t>：____________</w:t>
      </w:r>
    </w:p>
    <w:p w14:paraId="64A90B50">
      <w:pPr>
        <w:spacing w:line="400" w:lineRule="exact"/>
        <w:jc w:val="both"/>
        <w:rPr>
          <w:rFonts w:hint="eastAsia" w:ascii="宋体" w:hAnsi="宋体" w:eastAsia="宋体" w:cs="宋体"/>
          <w:color w:val="C00000"/>
          <w:kern w:val="2"/>
          <w:szCs w:val="21"/>
          <w:highlight w:val="none"/>
        </w:rPr>
      </w:pPr>
      <w:r>
        <w:rPr>
          <w:rFonts w:hint="default" w:ascii="Times New Roman" w:hAnsi="Times New Roman" w:eastAsia="宋体" w:cs="Times New Roman"/>
          <w:color w:val="000000"/>
          <w:kern w:val="2"/>
          <w:sz w:val="24"/>
          <w:szCs w:val="20"/>
          <w:highlight w:val="none"/>
        </w:rPr>
        <w:t xml:space="preserve">日期：_____年______月______日  </w:t>
      </w:r>
    </w:p>
    <w:p w14:paraId="25808017">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br w:type="page" w:clear="all"/>
      </w:r>
    </w:p>
    <w:bookmarkEnd w:id="756"/>
    <w:bookmarkEnd w:id="757"/>
    <w:bookmarkEnd w:id="758"/>
    <w:bookmarkEnd w:id="759"/>
    <w:bookmarkEnd w:id="760"/>
    <w:bookmarkEnd w:id="761"/>
    <w:bookmarkEnd w:id="762"/>
    <w:bookmarkEnd w:id="763"/>
    <w:bookmarkEnd w:id="764"/>
    <w:bookmarkEnd w:id="765"/>
    <w:bookmarkEnd w:id="766"/>
    <w:bookmarkEnd w:id="767"/>
    <w:bookmarkEnd w:id="768"/>
    <w:p w14:paraId="24562C65">
      <w:pPr>
        <w:rPr>
          <w:highlight w:val="none"/>
        </w:rPr>
      </w:pPr>
    </w:p>
    <w:p w14:paraId="7111FDB2">
      <w:pPr>
        <w:spacing w:line="400" w:lineRule="exact"/>
        <w:jc w:val="both"/>
        <w:rPr>
          <w:rFonts w:hint="eastAsia" w:ascii="宋体" w:hAnsi="宋体" w:eastAsia="宋体" w:cs="宋体"/>
          <w:color w:val="C00000"/>
          <w:kern w:val="2"/>
          <w:sz w:val="21"/>
          <w:szCs w:val="21"/>
          <w:highlight w:val="none"/>
        </w:rPr>
      </w:pPr>
      <w:bookmarkStart w:id="769" w:name="_Toc265228400"/>
      <w:bookmarkStart w:id="770" w:name="_Toc226337258"/>
      <w:bookmarkStart w:id="771" w:name="_Toc226965752"/>
      <w:bookmarkStart w:id="772" w:name="_Toc226965835"/>
      <w:bookmarkStart w:id="773" w:name="_Toc305158830"/>
      <w:bookmarkStart w:id="774" w:name="_Toc226309806"/>
      <w:bookmarkStart w:id="775" w:name="_Toc150480798"/>
      <w:bookmarkStart w:id="776" w:name="_Toc142311062"/>
      <w:bookmarkStart w:id="777" w:name="_Toc305158904"/>
      <w:bookmarkStart w:id="778" w:name="_Toc264969252"/>
      <w:bookmarkStart w:id="779" w:name="_Toc150774765"/>
      <w:bookmarkStart w:id="780" w:name="_Toc195842927"/>
      <w:bookmarkStart w:id="781" w:name="_Toc127151562"/>
      <w:bookmarkStart w:id="782" w:name="_Toc127151561"/>
      <w:bookmarkStart w:id="783" w:name="_Toc142311061"/>
      <w:bookmarkStart w:id="784" w:name="_Toc150774764"/>
      <w:bookmarkStart w:id="785" w:name="_Toc305158903"/>
      <w:bookmarkStart w:id="786" w:name="_Toc150480797"/>
      <w:bookmarkStart w:id="787" w:name="_Toc226965834"/>
      <w:bookmarkStart w:id="788" w:name="_Toc305158829"/>
      <w:bookmarkStart w:id="789" w:name="_Toc226309805"/>
      <w:bookmarkStart w:id="790" w:name="_Toc195842926"/>
      <w:bookmarkStart w:id="791" w:name="_Toc226337257"/>
      <w:bookmarkStart w:id="792" w:name="_Toc265228399"/>
      <w:bookmarkStart w:id="793" w:name="_Toc264969251"/>
      <w:bookmarkStart w:id="794" w:name="_Toc226965751"/>
      <w:r>
        <w:rPr>
          <w:rFonts w:hint="eastAsia" w:ascii="宋体" w:hAnsi="宋体" w:eastAsia="宋体" w:cs="宋体"/>
          <w:color w:val="C00000"/>
          <w:kern w:val="2"/>
          <w:sz w:val="21"/>
          <w:szCs w:val="21"/>
          <w:highlight w:val="none"/>
          <w:lang w:val="en-US" w:eastAsia="zh-CN"/>
        </w:rPr>
        <w:t>附</w:t>
      </w:r>
      <w:r>
        <w:rPr>
          <w:rFonts w:hint="eastAsia" w:ascii="宋体" w:hAnsi="宋体" w:eastAsia="宋体" w:cs="宋体"/>
          <w:color w:val="C00000"/>
          <w:kern w:val="2"/>
          <w:sz w:val="21"/>
          <w:szCs w:val="21"/>
          <w:highlight w:val="none"/>
        </w:rPr>
        <w:t>表</w:t>
      </w:r>
      <w:r>
        <w:rPr>
          <w:rFonts w:hint="eastAsia" w:ascii="宋体" w:hAnsi="宋体" w:eastAsia="宋体" w:cs="宋体"/>
          <w:color w:val="C00000"/>
          <w:kern w:val="2"/>
          <w:sz w:val="21"/>
          <w:szCs w:val="21"/>
          <w:highlight w:val="none"/>
          <w:lang w:val="en-US" w:eastAsia="zh-CN"/>
        </w:rPr>
        <w:t>1</w:t>
      </w:r>
      <w:r>
        <w:rPr>
          <w:rFonts w:hint="eastAsia" w:ascii="宋体" w:hAnsi="宋体" w:eastAsia="宋体" w:cs="宋体"/>
          <w:color w:val="C00000"/>
          <w:kern w:val="2"/>
          <w:sz w:val="21"/>
          <w:szCs w:val="21"/>
          <w:highlight w:val="none"/>
        </w:rPr>
        <w:t xml:space="preserve"> </w:t>
      </w:r>
    </w:p>
    <w:p w14:paraId="5A5A8E77">
      <w:pPr>
        <w:widowControl w:val="0"/>
        <w:numPr>
          <w:ilvl w:val="0"/>
          <w:numId w:val="0"/>
        </w:numPr>
        <w:spacing w:line="360" w:lineRule="auto"/>
        <w:ind w:leftChars="0" w:firstLine="420" w:firstLineChars="200"/>
        <w:contextualSpacing/>
        <w:jc w:val="both"/>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拟配备养护车辆、设备：</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12"/>
        <w:gridCol w:w="1444"/>
        <w:gridCol w:w="1308"/>
        <w:gridCol w:w="2822"/>
      </w:tblGrid>
      <w:tr w14:paraId="75548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3712" w:type="dxa"/>
            <w:noWrap w:val="0"/>
            <w:vAlign w:val="top"/>
          </w:tcPr>
          <w:p w14:paraId="5F81D9E8">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r>
              <w:rPr>
                <w:rFonts w:hint="eastAsia" w:ascii="宋体" w:hAnsi="宋体" w:eastAsia="宋体" w:cs="宋体"/>
                <w:b w:val="0"/>
                <w:bCs/>
                <w:color w:val="auto"/>
                <w:kern w:val="2"/>
                <w:sz w:val="21"/>
                <w:szCs w:val="21"/>
                <w:highlight w:val="none"/>
                <w:vertAlign w:val="baseline"/>
                <w:lang w:val="en-US" w:eastAsia="zh-CN" w:bidi="ar-SA"/>
              </w:rPr>
              <w:t>车辆、设备名称</w:t>
            </w:r>
          </w:p>
        </w:tc>
        <w:tc>
          <w:tcPr>
            <w:tcW w:w="1444" w:type="dxa"/>
            <w:noWrap w:val="0"/>
            <w:vAlign w:val="top"/>
          </w:tcPr>
          <w:p w14:paraId="6F0A39A9">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r>
              <w:rPr>
                <w:rFonts w:hint="eastAsia" w:ascii="宋体" w:hAnsi="宋体" w:eastAsia="宋体" w:cs="宋体"/>
                <w:b w:val="0"/>
                <w:bCs/>
                <w:color w:val="auto"/>
                <w:kern w:val="2"/>
                <w:sz w:val="21"/>
                <w:szCs w:val="21"/>
                <w:highlight w:val="none"/>
                <w:vertAlign w:val="baseline"/>
                <w:lang w:val="en-US" w:eastAsia="zh-CN" w:bidi="ar-SA"/>
              </w:rPr>
              <w:t>数量</w:t>
            </w:r>
          </w:p>
        </w:tc>
        <w:tc>
          <w:tcPr>
            <w:tcW w:w="1308" w:type="dxa"/>
            <w:noWrap w:val="0"/>
            <w:vAlign w:val="top"/>
          </w:tcPr>
          <w:p w14:paraId="705824A2">
            <w:pPr>
              <w:widowControl w:val="0"/>
              <w:numPr>
                <w:ilvl w:val="0"/>
                <w:numId w:val="0"/>
              </w:numPr>
              <w:spacing w:after="0" w:line="360" w:lineRule="auto"/>
              <w:ind w:firstLine="420" w:firstLineChars="200"/>
              <w:contextualSpacing/>
              <w:jc w:val="center"/>
              <w:rPr>
                <w:rFonts w:hint="default" w:ascii="宋体" w:hAnsi="宋体" w:eastAsia="宋体" w:cs="宋体"/>
                <w:b w:val="0"/>
                <w:bCs/>
                <w:color w:val="auto"/>
                <w:kern w:val="2"/>
                <w:sz w:val="21"/>
                <w:szCs w:val="21"/>
                <w:highlight w:val="none"/>
                <w:vertAlign w:val="baseline"/>
                <w:lang w:val="en-US" w:eastAsia="zh-CN" w:bidi="ar-SA"/>
              </w:rPr>
            </w:pPr>
            <w:r>
              <w:rPr>
                <w:rFonts w:hint="eastAsia" w:ascii="宋体" w:hAnsi="宋体" w:eastAsia="宋体" w:cs="宋体"/>
                <w:b w:val="0"/>
                <w:bCs/>
                <w:color w:val="auto"/>
                <w:kern w:val="2"/>
                <w:sz w:val="21"/>
                <w:szCs w:val="21"/>
                <w:highlight w:val="none"/>
                <w:vertAlign w:val="baseline"/>
                <w:lang w:val="en-US" w:eastAsia="zh-CN" w:bidi="ar-SA"/>
              </w:rPr>
              <w:t>租赁/自有</w:t>
            </w:r>
          </w:p>
        </w:tc>
        <w:tc>
          <w:tcPr>
            <w:tcW w:w="2822" w:type="dxa"/>
            <w:noWrap w:val="0"/>
            <w:vAlign w:val="top"/>
          </w:tcPr>
          <w:p w14:paraId="0D7AB55E">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r>
              <w:rPr>
                <w:rFonts w:hint="eastAsia" w:ascii="宋体" w:hAnsi="宋体" w:eastAsia="宋体" w:cs="宋体"/>
                <w:b w:val="0"/>
                <w:bCs/>
                <w:color w:val="auto"/>
                <w:kern w:val="2"/>
                <w:sz w:val="21"/>
                <w:szCs w:val="21"/>
                <w:highlight w:val="none"/>
                <w:vertAlign w:val="baseline"/>
                <w:lang w:val="en-US" w:eastAsia="zh-CN" w:bidi="ar-SA"/>
              </w:rPr>
              <w:t>备注</w:t>
            </w:r>
          </w:p>
        </w:tc>
      </w:tr>
      <w:tr w14:paraId="740AF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3712" w:type="dxa"/>
            <w:noWrap w:val="0"/>
            <w:vAlign w:val="top"/>
          </w:tcPr>
          <w:p w14:paraId="53A09A60">
            <w:pPr>
              <w:widowControl w:val="0"/>
              <w:numPr>
                <w:ilvl w:val="0"/>
                <w:numId w:val="0"/>
              </w:numPr>
              <w:spacing w:after="0" w:line="360" w:lineRule="auto"/>
              <w:ind w:left="0" w:leftChars="0" w:firstLine="0" w:firstLineChars="0"/>
              <w:contextualSpacing/>
              <w:jc w:val="center"/>
              <w:rPr>
                <w:rFonts w:hint="eastAsia" w:ascii="宋体" w:hAnsi="宋体" w:eastAsia="宋体" w:cs="宋体"/>
                <w:b w:val="0"/>
                <w:bCs/>
                <w:color w:val="auto"/>
                <w:kern w:val="2"/>
                <w:sz w:val="21"/>
                <w:szCs w:val="21"/>
                <w:highlight w:val="none"/>
                <w:vertAlign w:val="baseline"/>
                <w:lang w:val="en-US" w:eastAsia="zh-CN" w:bidi="ar-SA"/>
              </w:rPr>
            </w:pPr>
          </w:p>
        </w:tc>
        <w:tc>
          <w:tcPr>
            <w:tcW w:w="1444" w:type="dxa"/>
            <w:noWrap w:val="0"/>
            <w:vAlign w:val="top"/>
          </w:tcPr>
          <w:p w14:paraId="3BEF9F24">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p>
        </w:tc>
        <w:tc>
          <w:tcPr>
            <w:tcW w:w="1308" w:type="dxa"/>
            <w:noWrap w:val="0"/>
            <w:vAlign w:val="top"/>
          </w:tcPr>
          <w:p w14:paraId="794D070A">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p>
        </w:tc>
        <w:tc>
          <w:tcPr>
            <w:tcW w:w="2822" w:type="dxa"/>
            <w:noWrap w:val="0"/>
            <w:vAlign w:val="top"/>
          </w:tcPr>
          <w:p w14:paraId="5AA74781">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p>
        </w:tc>
      </w:tr>
      <w:tr w14:paraId="5C2AD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3712" w:type="dxa"/>
            <w:noWrap w:val="0"/>
            <w:vAlign w:val="top"/>
          </w:tcPr>
          <w:p w14:paraId="483BE7BE">
            <w:pPr>
              <w:widowControl w:val="0"/>
              <w:numPr>
                <w:ilvl w:val="0"/>
                <w:numId w:val="0"/>
              </w:numPr>
              <w:spacing w:after="0" w:line="360" w:lineRule="auto"/>
              <w:ind w:left="0" w:leftChars="0" w:firstLine="0" w:firstLineChars="0"/>
              <w:contextualSpacing/>
              <w:jc w:val="center"/>
              <w:rPr>
                <w:rFonts w:hint="eastAsia" w:ascii="宋体" w:hAnsi="宋体" w:eastAsia="宋体" w:cs="宋体"/>
                <w:b w:val="0"/>
                <w:bCs/>
                <w:color w:val="auto"/>
                <w:kern w:val="2"/>
                <w:sz w:val="21"/>
                <w:szCs w:val="21"/>
                <w:highlight w:val="none"/>
                <w:vertAlign w:val="baseline"/>
                <w:lang w:val="en-US" w:eastAsia="zh-CN" w:bidi="ar-SA"/>
              </w:rPr>
            </w:pPr>
          </w:p>
        </w:tc>
        <w:tc>
          <w:tcPr>
            <w:tcW w:w="1444" w:type="dxa"/>
            <w:noWrap w:val="0"/>
            <w:vAlign w:val="top"/>
          </w:tcPr>
          <w:p w14:paraId="373DE44D">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p>
        </w:tc>
        <w:tc>
          <w:tcPr>
            <w:tcW w:w="1308" w:type="dxa"/>
            <w:noWrap w:val="0"/>
            <w:vAlign w:val="top"/>
          </w:tcPr>
          <w:p w14:paraId="141435DC">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p>
        </w:tc>
        <w:tc>
          <w:tcPr>
            <w:tcW w:w="2822" w:type="dxa"/>
            <w:noWrap w:val="0"/>
            <w:vAlign w:val="top"/>
          </w:tcPr>
          <w:p w14:paraId="0F3144B0">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p>
        </w:tc>
      </w:tr>
      <w:tr w14:paraId="148E3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3712" w:type="dxa"/>
            <w:noWrap w:val="0"/>
            <w:vAlign w:val="top"/>
          </w:tcPr>
          <w:p w14:paraId="08F71B0E">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p>
        </w:tc>
        <w:tc>
          <w:tcPr>
            <w:tcW w:w="1444" w:type="dxa"/>
            <w:noWrap w:val="0"/>
            <w:vAlign w:val="top"/>
          </w:tcPr>
          <w:p w14:paraId="47CEA880">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p>
        </w:tc>
        <w:tc>
          <w:tcPr>
            <w:tcW w:w="1308" w:type="dxa"/>
            <w:noWrap w:val="0"/>
            <w:vAlign w:val="top"/>
          </w:tcPr>
          <w:p w14:paraId="601089C5">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p>
        </w:tc>
        <w:tc>
          <w:tcPr>
            <w:tcW w:w="2822" w:type="dxa"/>
            <w:noWrap w:val="0"/>
            <w:vAlign w:val="top"/>
          </w:tcPr>
          <w:p w14:paraId="6CE9EC33">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p>
        </w:tc>
      </w:tr>
      <w:tr w14:paraId="657E1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3712" w:type="dxa"/>
            <w:noWrap w:val="0"/>
            <w:vAlign w:val="top"/>
          </w:tcPr>
          <w:p w14:paraId="4BEA90A2">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lang w:val="en-US" w:eastAsia="zh-CN" w:bidi="ar-SA"/>
              </w:rPr>
            </w:pPr>
          </w:p>
        </w:tc>
        <w:tc>
          <w:tcPr>
            <w:tcW w:w="1444" w:type="dxa"/>
            <w:noWrap w:val="0"/>
            <w:vAlign w:val="top"/>
          </w:tcPr>
          <w:p w14:paraId="554948BF">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p>
        </w:tc>
        <w:tc>
          <w:tcPr>
            <w:tcW w:w="1308" w:type="dxa"/>
            <w:noWrap w:val="0"/>
            <w:vAlign w:val="top"/>
          </w:tcPr>
          <w:p w14:paraId="31375E94">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p>
        </w:tc>
        <w:tc>
          <w:tcPr>
            <w:tcW w:w="2822" w:type="dxa"/>
            <w:noWrap w:val="0"/>
            <w:vAlign w:val="top"/>
          </w:tcPr>
          <w:p w14:paraId="04F9B9CF">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p>
        </w:tc>
      </w:tr>
      <w:tr w14:paraId="5B2E9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3712" w:type="dxa"/>
            <w:noWrap w:val="0"/>
            <w:vAlign w:val="top"/>
          </w:tcPr>
          <w:p w14:paraId="062A6558">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lang w:val="en-US" w:eastAsia="zh-CN" w:bidi="ar-SA"/>
              </w:rPr>
            </w:pPr>
          </w:p>
        </w:tc>
        <w:tc>
          <w:tcPr>
            <w:tcW w:w="1444" w:type="dxa"/>
            <w:noWrap w:val="0"/>
            <w:vAlign w:val="top"/>
          </w:tcPr>
          <w:p w14:paraId="7EA8D6C9">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p>
        </w:tc>
        <w:tc>
          <w:tcPr>
            <w:tcW w:w="1308" w:type="dxa"/>
            <w:noWrap w:val="0"/>
            <w:vAlign w:val="top"/>
          </w:tcPr>
          <w:p w14:paraId="42F23E5A">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p>
        </w:tc>
        <w:tc>
          <w:tcPr>
            <w:tcW w:w="2822" w:type="dxa"/>
            <w:noWrap w:val="0"/>
            <w:vAlign w:val="top"/>
          </w:tcPr>
          <w:p w14:paraId="6B5DB1AD">
            <w:pPr>
              <w:widowControl w:val="0"/>
              <w:numPr>
                <w:ilvl w:val="0"/>
                <w:numId w:val="0"/>
              </w:numPr>
              <w:spacing w:after="0" w:line="360" w:lineRule="auto"/>
              <w:ind w:firstLine="420" w:firstLineChars="200"/>
              <w:contextualSpacing/>
              <w:jc w:val="center"/>
              <w:rPr>
                <w:rFonts w:hint="eastAsia" w:ascii="宋体" w:hAnsi="宋体" w:eastAsia="宋体" w:cs="宋体"/>
                <w:b w:val="0"/>
                <w:bCs/>
                <w:color w:val="auto"/>
                <w:kern w:val="2"/>
                <w:sz w:val="21"/>
                <w:szCs w:val="21"/>
                <w:highlight w:val="none"/>
                <w:vertAlign w:val="baseline"/>
                <w:lang w:val="en-US" w:eastAsia="zh-CN" w:bidi="ar-SA"/>
              </w:rPr>
            </w:pPr>
          </w:p>
        </w:tc>
      </w:tr>
    </w:tbl>
    <w:p w14:paraId="62684B9D">
      <w:pPr>
        <w:spacing w:line="400" w:lineRule="exact"/>
        <w:ind w:firstLine="422" w:firstLineChars="200"/>
        <w:rPr>
          <w:rFonts w:hint="eastAsia" w:ascii="宋体" w:hAnsi="宋体" w:eastAsia="宋体" w:cs="宋体"/>
          <w:b/>
          <w:bCs w:val="0"/>
          <w:kern w:val="2"/>
          <w:sz w:val="21"/>
          <w:szCs w:val="21"/>
          <w:highlight w:val="none"/>
          <w:lang w:val="en-US" w:eastAsia="zh-CN"/>
        </w:rPr>
      </w:pPr>
      <w:r>
        <w:rPr>
          <w:rFonts w:hint="eastAsia" w:ascii="宋体" w:hAnsi="宋体" w:eastAsia="宋体" w:cs="宋体"/>
          <w:b/>
          <w:bCs w:val="0"/>
          <w:kern w:val="2"/>
          <w:sz w:val="21"/>
          <w:szCs w:val="21"/>
          <w:highlight w:val="none"/>
          <w:lang w:val="en-US" w:eastAsia="zh-CN"/>
        </w:rPr>
        <w:t>注：根据</w:t>
      </w:r>
      <w:r>
        <w:rPr>
          <w:rFonts w:hint="eastAsia" w:ascii="宋体" w:hAnsi="宋体" w:eastAsia="宋体" w:cs="宋体"/>
          <w:b/>
          <w:bCs w:val="0"/>
          <w:kern w:val="2"/>
          <w:sz w:val="21"/>
          <w:szCs w:val="21"/>
          <w:highlight w:val="none"/>
        </w:rPr>
        <w:t>评审标准</w:t>
      </w:r>
      <w:r>
        <w:rPr>
          <w:rFonts w:hint="eastAsia" w:ascii="宋体" w:hAnsi="宋体" w:eastAsia="宋体" w:cs="宋体"/>
          <w:b/>
          <w:bCs w:val="0"/>
          <w:kern w:val="2"/>
          <w:sz w:val="21"/>
          <w:szCs w:val="21"/>
          <w:highlight w:val="none"/>
          <w:lang w:val="en-US" w:eastAsia="zh-CN"/>
        </w:rPr>
        <w:t>中“</w:t>
      </w:r>
      <w:r>
        <w:rPr>
          <w:rFonts w:hint="eastAsia" w:ascii="宋体" w:hAnsi="宋体" w:eastAsia="宋体" w:cs="宋体"/>
          <w:b/>
          <w:bCs w:val="0"/>
          <w:kern w:val="2"/>
          <w:sz w:val="21"/>
          <w:szCs w:val="21"/>
          <w:highlight w:val="none"/>
        </w:rPr>
        <w:t>2.3拟投入</w:t>
      </w:r>
      <w:r>
        <w:rPr>
          <w:rFonts w:hint="eastAsia" w:ascii="宋体" w:hAnsi="宋体" w:eastAsia="宋体" w:cs="宋体"/>
          <w:b/>
          <w:bCs w:val="0"/>
          <w:kern w:val="2"/>
          <w:sz w:val="21"/>
          <w:szCs w:val="21"/>
          <w:highlight w:val="none"/>
          <w:lang w:val="en-US" w:eastAsia="zh-CN"/>
        </w:rPr>
        <w:t>车辆、</w:t>
      </w:r>
      <w:r>
        <w:rPr>
          <w:rFonts w:hint="eastAsia" w:ascii="宋体" w:hAnsi="宋体" w:eastAsia="宋体" w:cs="宋体"/>
          <w:b/>
          <w:bCs w:val="0"/>
          <w:kern w:val="2"/>
          <w:sz w:val="21"/>
          <w:szCs w:val="21"/>
          <w:highlight w:val="none"/>
        </w:rPr>
        <w:t>设备</w:t>
      </w:r>
      <w:r>
        <w:rPr>
          <w:rFonts w:hint="eastAsia" w:ascii="宋体" w:hAnsi="宋体" w:eastAsia="宋体" w:cs="宋体"/>
          <w:b/>
          <w:bCs w:val="0"/>
          <w:kern w:val="2"/>
          <w:sz w:val="21"/>
          <w:szCs w:val="21"/>
          <w:highlight w:val="none"/>
          <w:lang w:val="en-US" w:eastAsia="zh-CN"/>
        </w:rPr>
        <w:t>”要求填写，并按要求提供相应证明材料作为本表的附件。</w:t>
      </w:r>
    </w:p>
    <w:p w14:paraId="362A0DD2">
      <w:pPr>
        <w:spacing w:line="460" w:lineRule="exact"/>
        <w:ind w:firstLine="420" w:firstLineChars="200"/>
        <w:rPr>
          <w:rFonts w:hint="eastAsia" w:ascii="宋体" w:hAnsi="宋体" w:eastAsia="宋体" w:cs="宋体"/>
          <w:color w:val="000000"/>
          <w:kern w:val="2"/>
          <w:sz w:val="21"/>
          <w:szCs w:val="21"/>
          <w:highlight w:val="none"/>
        </w:rPr>
      </w:pPr>
    </w:p>
    <w:p w14:paraId="72422C8F">
      <w:pPr>
        <w:autoSpaceDE w:val="0"/>
        <w:autoSpaceDN w:val="0"/>
        <w:adjustRightInd w:val="0"/>
        <w:snapToGrid w:val="0"/>
        <w:spacing w:before="25" w:after="25" w:line="360" w:lineRule="auto"/>
        <w:rPr>
          <w:rFonts w:hint="eastAsia" w:ascii="宋体" w:hAnsi="宋体" w:eastAsia="宋体" w:cs="宋体"/>
          <w:color w:val="000000"/>
          <w:kern w:val="2"/>
          <w:sz w:val="21"/>
          <w:szCs w:val="21"/>
          <w:highlight w:val="none"/>
          <w:lang w:val="zh-CN"/>
        </w:rPr>
      </w:pPr>
      <w:r>
        <w:rPr>
          <w:rFonts w:hint="eastAsia" w:ascii="宋体" w:hAnsi="宋体" w:eastAsia="宋体" w:cs="宋体"/>
          <w:color w:val="000000"/>
          <w:kern w:val="2"/>
          <w:sz w:val="21"/>
          <w:szCs w:val="21"/>
          <w:highlight w:val="none"/>
        </w:rPr>
        <w:t>供应商名称（加盖公章）</w:t>
      </w:r>
      <w:r>
        <w:rPr>
          <w:rFonts w:hint="eastAsia" w:ascii="宋体" w:hAnsi="宋体" w:eastAsia="宋体" w:cs="宋体"/>
          <w:color w:val="000000"/>
          <w:kern w:val="2"/>
          <w:sz w:val="21"/>
          <w:szCs w:val="21"/>
          <w:highlight w:val="none"/>
          <w:lang w:val="zh-CN"/>
        </w:rPr>
        <w:t>：____________</w:t>
      </w:r>
    </w:p>
    <w:p w14:paraId="287F0F8F">
      <w:pPr>
        <w:spacing w:line="360" w:lineRule="auto"/>
        <w:outlineLvl w:val="2"/>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 xml:space="preserve">日期：_____年______月______日  </w:t>
      </w:r>
    </w:p>
    <w:p w14:paraId="0B97B870">
      <w:pPr>
        <w:rPr>
          <w:rFonts w:hint="eastAsia" w:ascii="宋体" w:hAnsi="宋体" w:eastAsia="宋体" w:cs="Times New Roman"/>
          <w:b/>
          <w:kern w:val="2"/>
          <w:sz w:val="32"/>
          <w:szCs w:val="32"/>
          <w:highlight w:val="none"/>
        </w:rPr>
      </w:pPr>
      <w:r>
        <w:rPr>
          <w:rFonts w:hint="eastAsia" w:ascii="宋体" w:hAnsi="宋体" w:eastAsia="宋体" w:cs="Times New Roman"/>
          <w:b/>
          <w:kern w:val="2"/>
          <w:sz w:val="32"/>
          <w:szCs w:val="32"/>
          <w:highlight w:val="none"/>
        </w:rPr>
        <w:br w:type="page"/>
      </w:r>
    </w:p>
    <w:p w14:paraId="3BCDEF21">
      <w:pPr>
        <w:spacing w:line="360" w:lineRule="auto"/>
        <w:jc w:val="center"/>
        <w:rPr>
          <w:rFonts w:hint="default" w:ascii="宋体" w:hAnsi="宋体" w:eastAsia="宋体" w:cs="Times New Roman"/>
          <w:b/>
          <w:kern w:val="2"/>
          <w:sz w:val="32"/>
          <w:szCs w:val="32"/>
          <w:highlight w:val="none"/>
        </w:rPr>
      </w:pPr>
      <w:r>
        <w:rPr>
          <w:rFonts w:hint="eastAsia" w:ascii="宋体" w:hAnsi="宋体" w:eastAsia="宋体" w:cs="Times New Roman"/>
          <w:b/>
          <w:kern w:val="2"/>
          <w:sz w:val="32"/>
          <w:szCs w:val="32"/>
          <w:highlight w:val="none"/>
        </w:rPr>
        <w:t>参加本项目人员一览表</w:t>
      </w:r>
    </w:p>
    <w:p w14:paraId="35896528">
      <w:pPr>
        <w:snapToGrid w:val="0"/>
        <w:spacing w:line="360" w:lineRule="auto"/>
        <w:rPr>
          <w:rFonts w:hint="default" w:ascii="宋体" w:hAnsi="宋体" w:eastAsia="宋体" w:cs="Times New Roman"/>
          <w:kern w:val="2"/>
          <w:sz w:val="22"/>
          <w:highlight w:val="none"/>
        </w:rPr>
      </w:pPr>
    </w:p>
    <w:p w14:paraId="2D719674">
      <w:pPr>
        <w:snapToGrid w:val="0"/>
        <w:spacing w:line="360" w:lineRule="auto"/>
        <w:rPr>
          <w:rFonts w:hint="default" w:ascii="宋体" w:hAnsi="宋体" w:eastAsia="宋体" w:cs="宋体"/>
          <w:kern w:val="2"/>
          <w:sz w:val="24"/>
          <w:highlight w:val="none"/>
        </w:rPr>
      </w:pPr>
      <w:r>
        <w:rPr>
          <w:rFonts w:hint="eastAsia" w:ascii="宋体" w:hAnsi="宋体" w:eastAsia="宋体" w:cs="宋体"/>
          <w:kern w:val="2"/>
          <w:sz w:val="24"/>
          <w:highlight w:val="none"/>
        </w:rPr>
        <w:t>项目编号：</w:t>
      </w:r>
      <w:r>
        <w:rPr>
          <w:rFonts w:hint="eastAsia" w:ascii="宋体" w:hAnsi="宋体" w:eastAsia="宋体" w:cs="宋体"/>
          <w:kern w:val="2"/>
          <w:sz w:val="24"/>
          <w:highlight w:val="none"/>
          <w:u w:val="single"/>
        </w:rPr>
        <w:t xml:space="preserve">                     </w:t>
      </w:r>
    </w:p>
    <w:p w14:paraId="6EDBEBC0">
      <w:pPr>
        <w:tabs>
          <w:tab w:val="left" w:pos="9765"/>
        </w:tabs>
        <w:autoSpaceDE w:val="0"/>
        <w:autoSpaceDN w:val="0"/>
        <w:adjustRightInd w:val="0"/>
        <w:snapToGrid w:val="0"/>
        <w:rPr>
          <w:rFonts w:hint="eastAsia" w:ascii="宋体" w:hAnsi="宋体" w:eastAsia="宋体" w:cs="宋体"/>
          <w:b/>
          <w:kern w:val="2"/>
          <w:sz w:val="24"/>
          <w:highlight w:val="none"/>
          <w:lang w:val="zh-CN"/>
        </w:rPr>
      </w:pPr>
      <w:r>
        <w:rPr>
          <w:rFonts w:hint="eastAsia" w:ascii="宋体" w:hAnsi="宋体" w:eastAsia="宋体" w:cs="宋体"/>
          <w:b/>
          <w:kern w:val="2"/>
          <w:sz w:val="24"/>
          <w:highlight w:val="none"/>
          <w:lang w:val="zh-CN" w:eastAsia="zh-CN"/>
        </w:rPr>
        <w:t>拟投入管养人员：合计</w:t>
      </w:r>
      <w:r>
        <w:rPr>
          <w:rFonts w:hint="eastAsia" w:ascii="宋体" w:hAnsi="宋体" w:eastAsia="宋体" w:cs="宋体"/>
          <w:b/>
          <w:kern w:val="2"/>
          <w:sz w:val="24"/>
          <w:highlight w:val="none"/>
          <w:u w:val="single"/>
          <w:lang w:val="en-US" w:eastAsia="zh-CN"/>
        </w:rPr>
        <w:t xml:space="preserve">     </w:t>
      </w:r>
      <w:r>
        <w:rPr>
          <w:rFonts w:hint="eastAsia" w:ascii="宋体" w:hAnsi="宋体" w:eastAsia="宋体" w:cs="宋体"/>
          <w:b/>
          <w:kern w:val="2"/>
          <w:sz w:val="24"/>
          <w:highlight w:val="none"/>
          <w:lang w:val="zh-CN" w:eastAsia="zh-CN"/>
        </w:rPr>
        <w:t>人</w:t>
      </w:r>
      <w:r>
        <w:rPr>
          <w:rFonts w:hint="eastAsia" w:ascii="宋体" w:hAnsi="宋体" w:eastAsia="宋体" w:cs="宋体"/>
          <w:b/>
          <w:kern w:val="2"/>
          <w:sz w:val="24"/>
          <w:highlight w:val="none"/>
          <w:lang w:val="zh-CN"/>
        </w:rPr>
        <w:t>（不包括车辆驾驶员）</w:t>
      </w:r>
    </w:p>
    <w:p w14:paraId="1FF07C26">
      <w:pPr>
        <w:keepNext/>
        <w:keepLines/>
        <w:widowControl w:val="0"/>
        <w:autoSpaceDE w:val="0"/>
        <w:autoSpaceDN w:val="0"/>
        <w:adjustRightInd w:val="0"/>
        <w:spacing w:before="360" w:after="120"/>
        <w:jc w:val="left"/>
        <w:outlineLvl w:val="2"/>
        <w:rPr>
          <w:rFonts w:hint="eastAsia" w:ascii="宋体" w:hAnsi="Times New Roman" w:eastAsia="宋体" w:cs="Times New Roman"/>
          <w:b/>
          <w:kern w:val="0"/>
          <w:sz w:val="24"/>
          <w:szCs w:val="20"/>
          <w:highlight w:val="none"/>
          <w:u w:val="single"/>
          <w:lang w:val="zh-CN" w:eastAsia="zh-CN" w:bidi="ar-SA"/>
        </w:rPr>
      </w:pP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9"/>
        <w:gridCol w:w="1713"/>
        <w:gridCol w:w="5617"/>
        <w:gridCol w:w="829"/>
      </w:tblGrid>
      <w:tr w14:paraId="0CBE5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noWrap w:val="0"/>
            <w:vAlign w:val="center"/>
          </w:tcPr>
          <w:p w14:paraId="5213BE26">
            <w:pPr>
              <w:tabs>
                <w:tab w:val="left" w:pos="9765"/>
              </w:tabs>
              <w:autoSpaceDE w:val="0"/>
              <w:autoSpaceDN w:val="0"/>
              <w:adjustRightInd w:val="0"/>
              <w:snapToGrid w:val="0"/>
              <w:spacing w:after="0" w:line="240" w:lineRule="auto"/>
              <w:jc w:val="center"/>
              <w:rPr>
                <w:rFonts w:hint="eastAsia" w:ascii="宋体" w:hAnsi="宋体" w:eastAsia="宋体" w:cs="宋体"/>
                <w:b w:val="0"/>
                <w:bCs/>
                <w:kern w:val="2"/>
                <w:sz w:val="24"/>
                <w:highlight w:val="none"/>
                <w:lang w:val="zh-CN" w:eastAsia="zh-CN"/>
              </w:rPr>
            </w:pPr>
            <w:r>
              <w:rPr>
                <w:rFonts w:hint="eastAsia" w:ascii="宋体" w:hAnsi="宋体" w:eastAsia="宋体" w:cs="宋体"/>
                <w:b w:val="0"/>
                <w:bCs/>
                <w:kern w:val="2"/>
                <w:sz w:val="24"/>
                <w:highlight w:val="none"/>
                <w:lang w:val="zh-CN" w:eastAsia="zh-CN"/>
              </w:rPr>
              <w:t>岗位</w:t>
            </w:r>
          </w:p>
        </w:tc>
        <w:tc>
          <w:tcPr>
            <w:tcW w:w="1713" w:type="dxa"/>
            <w:noWrap w:val="0"/>
            <w:vAlign w:val="center"/>
          </w:tcPr>
          <w:p w14:paraId="104844F9">
            <w:pPr>
              <w:tabs>
                <w:tab w:val="left" w:pos="9765"/>
              </w:tabs>
              <w:autoSpaceDE w:val="0"/>
              <w:autoSpaceDN w:val="0"/>
              <w:adjustRightInd w:val="0"/>
              <w:snapToGrid w:val="0"/>
              <w:spacing w:after="0" w:line="240" w:lineRule="auto"/>
              <w:jc w:val="center"/>
              <w:rPr>
                <w:rFonts w:hint="eastAsia" w:ascii="宋体" w:hAnsi="宋体" w:eastAsia="宋体" w:cs="宋体"/>
                <w:b w:val="0"/>
                <w:bCs/>
                <w:kern w:val="2"/>
                <w:sz w:val="24"/>
                <w:highlight w:val="none"/>
                <w:lang w:val="zh-CN" w:eastAsia="zh-CN"/>
              </w:rPr>
            </w:pPr>
            <w:r>
              <w:rPr>
                <w:rFonts w:hint="eastAsia" w:ascii="宋体" w:hAnsi="宋体" w:eastAsia="宋体" w:cs="宋体"/>
                <w:b w:val="0"/>
                <w:bCs/>
                <w:kern w:val="2"/>
                <w:sz w:val="24"/>
                <w:highlight w:val="none"/>
                <w:lang w:val="zh-CN" w:eastAsia="zh-CN"/>
              </w:rPr>
              <w:t>作业人数</w:t>
            </w:r>
          </w:p>
        </w:tc>
        <w:tc>
          <w:tcPr>
            <w:tcW w:w="5617" w:type="dxa"/>
            <w:noWrap w:val="0"/>
            <w:vAlign w:val="center"/>
          </w:tcPr>
          <w:p w14:paraId="7206D4A1">
            <w:pPr>
              <w:tabs>
                <w:tab w:val="left" w:pos="9765"/>
              </w:tabs>
              <w:autoSpaceDE w:val="0"/>
              <w:autoSpaceDN w:val="0"/>
              <w:adjustRightInd w:val="0"/>
              <w:snapToGrid w:val="0"/>
              <w:spacing w:after="0" w:line="240" w:lineRule="auto"/>
              <w:rPr>
                <w:rFonts w:hint="eastAsia" w:ascii="宋体" w:hAnsi="宋体" w:eastAsia="宋体" w:cs="宋体"/>
                <w:b w:val="0"/>
                <w:bCs/>
                <w:kern w:val="2"/>
                <w:sz w:val="24"/>
                <w:highlight w:val="none"/>
                <w:lang w:val="zh-CN" w:eastAsia="zh-CN"/>
              </w:rPr>
            </w:pPr>
            <w:r>
              <w:rPr>
                <w:rFonts w:hint="eastAsia" w:ascii="宋体" w:hAnsi="宋体" w:eastAsia="宋体" w:cs="宋体"/>
                <w:b w:val="0"/>
                <w:bCs/>
                <w:kern w:val="2"/>
                <w:sz w:val="24"/>
                <w:highlight w:val="none"/>
                <w:lang w:val="zh-CN" w:eastAsia="zh-CN"/>
              </w:rPr>
              <w:t>岗位人员要求</w:t>
            </w:r>
          </w:p>
        </w:tc>
        <w:tc>
          <w:tcPr>
            <w:tcW w:w="829" w:type="dxa"/>
            <w:noWrap w:val="0"/>
            <w:vAlign w:val="center"/>
          </w:tcPr>
          <w:p w14:paraId="1760C628">
            <w:pPr>
              <w:tabs>
                <w:tab w:val="left" w:pos="9765"/>
              </w:tabs>
              <w:autoSpaceDE w:val="0"/>
              <w:autoSpaceDN w:val="0"/>
              <w:adjustRightInd w:val="0"/>
              <w:snapToGrid w:val="0"/>
              <w:spacing w:after="0" w:line="240" w:lineRule="auto"/>
              <w:rPr>
                <w:rFonts w:hint="eastAsia" w:ascii="宋体" w:hAnsi="宋体" w:eastAsia="宋体" w:cs="宋体"/>
                <w:b w:val="0"/>
                <w:bCs/>
                <w:kern w:val="2"/>
                <w:sz w:val="24"/>
                <w:highlight w:val="none"/>
                <w:lang w:val="zh-CN" w:eastAsia="zh-CN"/>
              </w:rPr>
            </w:pPr>
            <w:r>
              <w:rPr>
                <w:rFonts w:hint="eastAsia" w:ascii="宋体" w:hAnsi="宋体" w:eastAsia="宋体" w:cs="宋体"/>
                <w:b w:val="0"/>
                <w:bCs/>
                <w:kern w:val="2"/>
                <w:sz w:val="24"/>
                <w:highlight w:val="none"/>
                <w:lang w:val="zh-CN" w:eastAsia="zh-CN"/>
              </w:rPr>
              <w:t>备注</w:t>
            </w:r>
          </w:p>
        </w:tc>
      </w:tr>
      <w:tr w14:paraId="2D6CB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1129" w:type="dxa"/>
            <w:noWrap w:val="0"/>
            <w:vAlign w:val="center"/>
          </w:tcPr>
          <w:p w14:paraId="2670EFD7">
            <w:pPr>
              <w:tabs>
                <w:tab w:val="left" w:pos="9765"/>
              </w:tabs>
              <w:autoSpaceDE w:val="0"/>
              <w:autoSpaceDN w:val="0"/>
              <w:adjustRightInd w:val="0"/>
              <w:snapToGrid w:val="0"/>
              <w:spacing w:after="0" w:line="240" w:lineRule="auto"/>
              <w:jc w:val="center"/>
              <w:rPr>
                <w:rFonts w:hint="eastAsia" w:ascii="宋体" w:hAnsi="宋体" w:eastAsia="宋体" w:cs="宋体"/>
                <w:b w:val="0"/>
                <w:bCs/>
                <w:kern w:val="2"/>
                <w:sz w:val="24"/>
                <w:highlight w:val="none"/>
                <w:lang w:val="zh-CN"/>
              </w:rPr>
            </w:pPr>
            <w:r>
              <w:rPr>
                <w:rFonts w:hint="eastAsia" w:ascii="宋体" w:hAnsi="宋体" w:eastAsia="宋体" w:cs="宋体"/>
                <w:b w:val="0"/>
                <w:bCs/>
                <w:kern w:val="2"/>
                <w:sz w:val="24"/>
                <w:highlight w:val="none"/>
                <w:lang w:val="zh-CN"/>
              </w:rPr>
              <w:t>项目经理</w:t>
            </w:r>
          </w:p>
        </w:tc>
        <w:tc>
          <w:tcPr>
            <w:tcW w:w="1713" w:type="dxa"/>
            <w:noWrap w:val="0"/>
            <w:vAlign w:val="center"/>
          </w:tcPr>
          <w:p w14:paraId="64DC7318">
            <w:pPr>
              <w:tabs>
                <w:tab w:val="left" w:pos="9765"/>
              </w:tabs>
              <w:autoSpaceDE w:val="0"/>
              <w:autoSpaceDN w:val="0"/>
              <w:adjustRightInd w:val="0"/>
              <w:snapToGrid w:val="0"/>
              <w:spacing w:after="0" w:line="240" w:lineRule="auto"/>
              <w:jc w:val="center"/>
              <w:rPr>
                <w:rFonts w:hint="eastAsia" w:ascii="宋体" w:hAnsi="宋体" w:eastAsia="宋体" w:cs="宋体"/>
                <w:b w:val="0"/>
                <w:bCs/>
                <w:kern w:val="2"/>
                <w:sz w:val="24"/>
                <w:highlight w:val="none"/>
                <w:lang w:val="zh-CN" w:eastAsia="zh-CN"/>
              </w:rPr>
            </w:pPr>
          </w:p>
        </w:tc>
        <w:tc>
          <w:tcPr>
            <w:tcW w:w="5617" w:type="dxa"/>
            <w:noWrap w:val="0"/>
            <w:vAlign w:val="center"/>
          </w:tcPr>
          <w:p w14:paraId="6668AB58">
            <w:pPr>
              <w:tabs>
                <w:tab w:val="left" w:pos="9765"/>
              </w:tabs>
              <w:autoSpaceDE w:val="0"/>
              <w:autoSpaceDN w:val="0"/>
              <w:adjustRightInd w:val="0"/>
              <w:snapToGrid w:val="0"/>
              <w:spacing w:after="0" w:line="240" w:lineRule="auto"/>
              <w:rPr>
                <w:rFonts w:hint="eastAsia" w:ascii="宋体" w:hAnsi="宋体" w:eastAsia="宋体" w:cs="宋体"/>
                <w:b w:val="0"/>
                <w:bCs/>
                <w:kern w:val="2"/>
                <w:sz w:val="24"/>
                <w:highlight w:val="none"/>
                <w:lang w:val="zh-CN" w:eastAsia="zh-CN"/>
              </w:rPr>
            </w:pPr>
            <w:r>
              <w:rPr>
                <w:rFonts w:hint="eastAsia" w:ascii="宋体" w:hAnsi="宋体" w:eastAsia="宋体" w:cs="宋体"/>
                <w:b w:val="0"/>
                <w:bCs/>
                <w:kern w:val="2"/>
                <w:sz w:val="24"/>
                <w:highlight w:val="none"/>
                <w:lang w:val="zh-CN" w:eastAsia="zh-CN"/>
              </w:rPr>
              <w:t>60</w:t>
            </w:r>
            <w:r>
              <w:rPr>
                <w:rFonts w:hint="eastAsia" w:ascii="宋体" w:hAnsi="宋体" w:eastAsia="宋体" w:cs="宋体"/>
                <w:b w:val="0"/>
                <w:bCs/>
                <w:kern w:val="2"/>
                <w:sz w:val="24"/>
                <w:highlight w:val="none"/>
                <w:lang w:val="zh-CN"/>
              </w:rPr>
              <w:t>周岁以下。身体健康</w:t>
            </w:r>
            <w:r>
              <w:rPr>
                <w:rFonts w:hint="eastAsia" w:ascii="宋体" w:hAnsi="宋体" w:eastAsia="宋体" w:cs="宋体"/>
                <w:b w:val="0"/>
                <w:bCs/>
                <w:kern w:val="2"/>
                <w:sz w:val="24"/>
                <w:highlight w:val="none"/>
                <w:lang w:val="zh-CN" w:eastAsia="zh-CN"/>
              </w:rPr>
              <w:t>，</w:t>
            </w:r>
            <w:r>
              <w:rPr>
                <w:rFonts w:hint="eastAsia" w:ascii="宋体" w:hAnsi="宋体" w:eastAsia="宋体" w:cs="宋体"/>
                <w:b w:val="0"/>
                <w:bCs/>
                <w:kern w:val="2"/>
                <w:sz w:val="24"/>
                <w:highlight w:val="none"/>
                <w:lang w:val="zh-CN"/>
              </w:rPr>
              <w:t>具有绿化养护经验</w:t>
            </w:r>
            <w:r>
              <w:rPr>
                <w:rFonts w:hint="eastAsia" w:ascii="宋体" w:hAnsi="宋体" w:eastAsia="宋体" w:cs="宋体"/>
                <w:b w:val="0"/>
                <w:bCs/>
                <w:kern w:val="2"/>
                <w:sz w:val="24"/>
                <w:highlight w:val="none"/>
                <w:lang w:val="zh-CN" w:eastAsia="zh-CN"/>
              </w:rPr>
              <w:t>。</w:t>
            </w:r>
          </w:p>
        </w:tc>
        <w:tc>
          <w:tcPr>
            <w:tcW w:w="829" w:type="dxa"/>
            <w:noWrap w:val="0"/>
            <w:vAlign w:val="center"/>
          </w:tcPr>
          <w:p w14:paraId="3DD3BD1C">
            <w:pPr>
              <w:tabs>
                <w:tab w:val="left" w:pos="9765"/>
              </w:tabs>
              <w:autoSpaceDE w:val="0"/>
              <w:autoSpaceDN w:val="0"/>
              <w:adjustRightInd w:val="0"/>
              <w:snapToGrid w:val="0"/>
              <w:spacing w:after="0" w:line="240" w:lineRule="auto"/>
              <w:rPr>
                <w:rFonts w:hint="eastAsia" w:ascii="宋体" w:hAnsi="宋体" w:eastAsia="宋体" w:cs="宋体"/>
                <w:b w:val="0"/>
                <w:bCs/>
                <w:kern w:val="2"/>
                <w:sz w:val="24"/>
                <w:highlight w:val="none"/>
                <w:lang w:val="zh-CN"/>
              </w:rPr>
            </w:pPr>
          </w:p>
        </w:tc>
      </w:tr>
      <w:tr w14:paraId="67D62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noWrap w:val="0"/>
            <w:vAlign w:val="center"/>
          </w:tcPr>
          <w:p w14:paraId="08459D89">
            <w:pPr>
              <w:tabs>
                <w:tab w:val="left" w:pos="9765"/>
              </w:tabs>
              <w:autoSpaceDE w:val="0"/>
              <w:autoSpaceDN w:val="0"/>
              <w:adjustRightInd w:val="0"/>
              <w:snapToGrid w:val="0"/>
              <w:spacing w:after="0" w:line="240" w:lineRule="auto"/>
              <w:jc w:val="center"/>
              <w:rPr>
                <w:rFonts w:hint="eastAsia" w:ascii="宋体" w:hAnsi="宋体" w:eastAsia="宋体" w:cs="宋体"/>
                <w:b w:val="0"/>
                <w:bCs/>
                <w:kern w:val="2"/>
                <w:sz w:val="24"/>
                <w:highlight w:val="none"/>
                <w:lang w:val="zh-CN"/>
              </w:rPr>
            </w:pPr>
            <w:r>
              <w:rPr>
                <w:rFonts w:hint="eastAsia" w:ascii="宋体" w:hAnsi="宋体" w:eastAsia="宋体" w:cs="宋体"/>
                <w:b w:val="0"/>
                <w:bCs/>
                <w:kern w:val="2"/>
                <w:sz w:val="24"/>
                <w:highlight w:val="none"/>
                <w:lang w:val="zh-CN"/>
              </w:rPr>
              <w:t>养护作业人员</w:t>
            </w:r>
          </w:p>
        </w:tc>
        <w:tc>
          <w:tcPr>
            <w:tcW w:w="1713" w:type="dxa"/>
            <w:noWrap w:val="0"/>
            <w:vAlign w:val="center"/>
          </w:tcPr>
          <w:p w14:paraId="27D9835D">
            <w:pPr>
              <w:tabs>
                <w:tab w:val="left" w:pos="9765"/>
              </w:tabs>
              <w:autoSpaceDE w:val="0"/>
              <w:autoSpaceDN w:val="0"/>
              <w:adjustRightInd w:val="0"/>
              <w:snapToGrid w:val="0"/>
              <w:spacing w:after="0" w:line="240" w:lineRule="auto"/>
              <w:jc w:val="center"/>
              <w:rPr>
                <w:rFonts w:hint="eastAsia" w:ascii="宋体" w:hAnsi="宋体" w:eastAsia="宋体" w:cs="宋体"/>
                <w:b w:val="0"/>
                <w:bCs/>
                <w:kern w:val="2"/>
                <w:sz w:val="24"/>
                <w:highlight w:val="none"/>
                <w:lang w:val="zh-CN" w:eastAsia="zh-CN"/>
              </w:rPr>
            </w:pPr>
          </w:p>
        </w:tc>
        <w:tc>
          <w:tcPr>
            <w:tcW w:w="5617" w:type="dxa"/>
            <w:noWrap w:val="0"/>
            <w:vAlign w:val="center"/>
          </w:tcPr>
          <w:p w14:paraId="5D203220">
            <w:pPr>
              <w:tabs>
                <w:tab w:val="left" w:pos="9765"/>
              </w:tabs>
              <w:autoSpaceDE w:val="0"/>
              <w:autoSpaceDN w:val="0"/>
              <w:adjustRightInd w:val="0"/>
              <w:snapToGrid w:val="0"/>
              <w:spacing w:after="0" w:line="240" w:lineRule="auto"/>
              <w:rPr>
                <w:rFonts w:hint="eastAsia" w:ascii="宋体" w:hAnsi="宋体" w:eastAsia="宋体" w:cs="宋体"/>
                <w:b w:val="0"/>
                <w:bCs/>
                <w:kern w:val="2"/>
                <w:sz w:val="24"/>
                <w:highlight w:val="none"/>
                <w:lang w:val="zh-CN"/>
              </w:rPr>
            </w:pPr>
            <w:r>
              <w:rPr>
                <w:rFonts w:hint="eastAsia" w:ascii="宋体" w:hAnsi="宋体" w:eastAsia="宋体" w:cs="宋体"/>
                <w:b w:val="0"/>
                <w:bCs/>
                <w:kern w:val="2"/>
                <w:sz w:val="24"/>
                <w:highlight w:val="none"/>
                <w:lang w:val="zh-CN"/>
              </w:rPr>
              <w:t xml:space="preserve">女性 </w:t>
            </w:r>
            <w:r>
              <w:rPr>
                <w:rFonts w:hint="eastAsia" w:ascii="宋体" w:hAnsi="宋体" w:eastAsia="宋体" w:cs="宋体"/>
                <w:b w:val="0"/>
                <w:bCs/>
                <w:kern w:val="2"/>
                <w:sz w:val="24"/>
                <w:highlight w:val="none"/>
                <w:lang w:val="zh-CN" w:eastAsia="zh-CN"/>
              </w:rPr>
              <w:t>50</w:t>
            </w:r>
            <w:r>
              <w:rPr>
                <w:rFonts w:hint="eastAsia" w:ascii="宋体" w:hAnsi="宋体" w:eastAsia="宋体" w:cs="宋体"/>
                <w:b w:val="0"/>
                <w:bCs/>
                <w:kern w:val="2"/>
                <w:sz w:val="24"/>
                <w:highlight w:val="none"/>
                <w:lang w:val="zh-CN"/>
              </w:rPr>
              <w:t>周岁以下，男性 6</w:t>
            </w:r>
            <w:r>
              <w:rPr>
                <w:rFonts w:hint="eastAsia" w:ascii="宋体" w:hAnsi="宋体" w:eastAsia="宋体" w:cs="宋体"/>
                <w:b w:val="0"/>
                <w:bCs/>
                <w:kern w:val="2"/>
                <w:sz w:val="24"/>
                <w:highlight w:val="none"/>
                <w:lang w:val="zh-CN" w:eastAsia="zh-CN"/>
              </w:rPr>
              <w:t>0</w:t>
            </w:r>
            <w:r>
              <w:rPr>
                <w:rFonts w:hint="eastAsia" w:ascii="宋体" w:hAnsi="宋体" w:eastAsia="宋体" w:cs="宋体"/>
                <w:b w:val="0"/>
                <w:bCs/>
                <w:kern w:val="2"/>
                <w:sz w:val="24"/>
                <w:highlight w:val="none"/>
                <w:lang w:val="zh-CN"/>
              </w:rPr>
              <w:t>周岁以下。所有人员身体健康，具有一定的绿化养护经验，工作效率高。</w:t>
            </w:r>
          </w:p>
        </w:tc>
        <w:tc>
          <w:tcPr>
            <w:tcW w:w="829" w:type="dxa"/>
            <w:noWrap w:val="0"/>
            <w:vAlign w:val="center"/>
          </w:tcPr>
          <w:p w14:paraId="6D975795">
            <w:pPr>
              <w:tabs>
                <w:tab w:val="left" w:pos="9765"/>
              </w:tabs>
              <w:autoSpaceDE w:val="0"/>
              <w:autoSpaceDN w:val="0"/>
              <w:adjustRightInd w:val="0"/>
              <w:snapToGrid w:val="0"/>
              <w:spacing w:after="0" w:line="240" w:lineRule="auto"/>
              <w:rPr>
                <w:rFonts w:hint="eastAsia" w:ascii="宋体" w:hAnsi="宋体" w:eastAsia="宋体" w:cs="宋体"/>
                <w:b w:val="0"/>
                <w:bCs/>
                <w:kern w:val="2"/>
                <w:sz w:val="24"/>
                <w:highlight w:val="none"/>
                <w:lang w:val="zh-CN"/>
              </w:rPr>
            </w:pPr>
          </w:p>
        </w:tc>
      </w:tr>
    </w:tbl>
    <w:p w14:paraId="4C198433">
      <w:pPr>
        <w:tabs>
          <w:tab w:val="left" w:pos="9765"/>
        </w:tabs>
        <w:autoSpaceDE w:val="0"/>
        <w:autoSpaceDN w:val="0"/>
        <w:adjustRightInd w:val="0"/>
        <w:snapToGrid w:val="0"/>
        <w:rPr>
          <w:rFonts w:hint="default" w:ascii="宋体" w:hAnsi="宋体" w:eastAsia="宋体" w:cs="宋体"/>
          <w:b/>
          <w:kern w:val="2"/>
          <w:sz w:val="24"/>
          <w:highlight w:val="none"/>
          <w:lang w:val="zh-CN"/>
        </w:rPr>
      </w:pPr>
    </w:p>
    <w:p w14:paraId="445BC4B4">
      <w:pPr>
        <w:snapToGrid w:val="0"/>
        <w:spacing w:line="360" w:lineRule="auto"/>
        <w:rPr>
          <w:rFonts w:hint="eastAsia" w:ascii="宋体" w:hAnsi="宋体" w:eastAsia="宋体" w:cs="宋体"/>
          <w:b/>
          <w:kern w:val="2"/>
          <w:sz w:val="24"/>
          <w:highlight w:val="none"/>
          <w:lang w:val="zh-CN"/>
        </w:rPr>
      </w:pPr>
      <w:r>
        <w:rPr>
          <w:rFonts w:hint="eastAsia" w:ascii="宋体" w:hAnsi="宋体" w:eastAsia="宋体" w:cs="宋体"/>
          <w:b/>
          <w:kern w:val="2"/>
          <w:sz w:val="24"/>
          <w:highlight w:val="none"/>
          <w:lang w:val="zh-CN"/>
        </w:rPr>
        <w:t>注：</w:t>
      </w:r>
    </w:p>
    <w:p w14:paraId="5C606400">
      <w:pPr>
        <w:snapToGrid w:val="0"/>
        <w:spacing w:line="360" w:lineRule="auto"/>
        <w:rPr>
          <w:rFonts w:hint="eastAsia" w:ascii="宋体" w:hAnsi="宋体" w:eastAsia="宋体" w:cs="宋体"/>
          <w:b/>
          <w:kern w:val="2"/>
          <w:sz w:val="24"/>
          <w:highlight w:val="none"/>
          <w:lang w:val="zh-CN"/>
        </w:rPr>
      </w:pPr>
      <w:r>
        <w:rPr>
          <w:rFonts w:hint="eastAsia" w:ascii="宋体" w:hAnsi="宋体" w:eastAsia="宋体" w:cs="宋体"/>
          <w:b/>
          <w:kern w:val="2"/>
          <w:sz w:val="24"/>
          <w:highlight w:val="none"/>
          <w:lang w:val="zh-CN"/>
        </w:rPr>
        <w:t xml:space="preserve">1)该表将作为签订合同的依据，中标供应商养护人员更换的必须按招标要求调整，并得到采购人允许。                                                </w:t>
      </w:r>
    </w:p>
    <w:p w14:paraId="6B2FC6CA">
      <w:pPr>
        <w:snapToGrid w:val="0"/>
        <w:spacing w:line="360" w:lineRule="auto"/>
        <w:rPr>
          <w:rFonts w:hint="eastAsia" w:ascii="宋体" w:hAnsi="宋体" w:eastAsia="宋体" w:cs="宋体"/>
          <w:b/>
          <w:kern w:val="2"/>
          <w:sz w:val="24"/>
          <w:highlight w:val="none"/>
          <w:lang w:val="zh-CN"/>
        </w:rPr>
      </w:pPr>
      <w:r>
        <w:rPr>
          <w:rFonts w:hint="eastAsia" w:ascii="宋体" w:hAnsi="宋体" w:eastAsia="宋体" w:cs="宋体"/>
          <w:b/>
          <w:kern w:val="2"/>
          <w:sz w:val="24"/>
          <w:highlight w:val="none"/>
          <w:lang w:val="zh-CN"/>
        </w:rPr>
        <w:t>2)拟配备人员</w:t>
      </w:r>
      <w:r>
        <w:rPr>
          <w:rFonts w:hint="eastAsia" w:ascii="宋体" w:hAnsi="宋体" w:eastAsia="宋体" w:cs="宋体"/>
          <w:b/>
          <w:kern w:val="2"/>
          <w:sz w:val="24"/>
          <w:highlight w:val="none"/>
          <w:lang w:val="en-US" w:eastAsia="zh-CN"/>
        </w:rPr>
        <w:t>不得低于</w:t>
      </w:r>
      <w:r>
        <w:rPr>
          <w:rFonts w:hint="eastAsia" w:ascii="宋体" w:hAnsi="宋体" w:eastAsia="宋体" w:cs="宋体"/>
          <w:b/>
          <w:kern w:val="2"/>
          <w:sz w:val="24"/>
          <w:highlight w:val="none"/>
          <w:lang w:val="zh-CN"/>
        </w:rPr>
        <w:t xml:space="preserve">10人（不包括车辆驾驶员），若不满足，作无效响应文件处理。                                             </w:t>
      </w:r>
    </w:p>
    <w:p w14:paraId="35DB1DA1">
      <w:pPr>
        <w:snapToGrid w:val="0"/>
        <w:spacing w:line="360" w:lineRule="auto"/>
        <w:rPr>
          <w:rFonts w:hint="eastAsia" w:ascii="宋体" w:hAnsi="宋体" w:eastAsia="宋体" w:cs="宋体"/>
          <w:b/>
          <w:kern w:val="2"/>
          <w:sz w:val="24"/>
          <w:highlight w:val="none"/>
          <w:lang w:val="en-US" w:eastAsia="zh-CN"/>
        </w:rPr>
      </w:pPr>
      <w:r>
        <w:rPr>
          <w:rFonts w:hint="eastAsia" w:ascii="宋体" w:hAnsi="宋体" w:eastAsia="宋体" w:cs="宋体"/>
          <w:b/>
          <w:kern w:val="2"/>
          <w:sz w:val="24"/>
          <w:highlight w:val="none"/>
          <w:lang w:val="en-US" w:eastAsia="zh-CN"/>
        </w:rPr>
        <w:t>3</w:t>
      </w:r>
      <w:r>
        <w:rPr>
          <w:rFonts w:hint="eastAsia" w:ascii="宋体" w:hAnsi="宋体" w:eastAsia="宋体" w:cs="宋体"/>
          <w:b/>
          <w:kern w:val="2"/>
          <w:sz w:val="24"/>
          <w:highlight w:val="none"/>
          <w:lang w:val="zh-CN"/>
        </w:rPr>
        <w:t>）</w:t>
      </w:r>
      <w:r>
        <w:rPr>
          <w:rFonts w:hint="eastAsia" w:ascii="宋体" w:hAnsi="宋体" w:eastAsia="宋体" w:cs="宋体"/>
          <w:b/>
          <w:kern w:val="2"/>
          <w:sz w:val="24"/>
          <w:highlight w:val="none"/>
          <w:lang w:val="en-US" w:eastAsia="zh-CN"/>
        </w:rPr>
        <w:t>本项目养护合同签订后，供应商按照响应文件中承诺的人员数量及其他内容，向采购人上报管养人员名单，供应商应确保所有人员为本单位的正式员工，并按照国家相关法律法规缴纳了社保及必要的意外保险等。采购人在合同执行期间</w:t>
      </w:r>
      <w:r>
        <w:rPr>
          <w:rFonts w:hint="eastAsia" w:ascii="宋体" w:hAnsi="宋体" w:eastAsia="宋体" w:cs="宋体"/>
          <w:b/>
          <w:kern w:val="2"/>
          <w:sz w:val="24"/>
          <w:highlight w:val="none"/>
          <w:lang w:val="zh-CN"/>
        </w:rPr>
        <w:t>按照乙方上报的</w:t>
      </w:r>
      <w:r>
        <w:rPr>
          <w:rFonts w:hint="eastAsia" w:ascii="宋体" w:hAnsi="宋体" w:eastAsia="宋体" w:cs="宋体"/>
          <w:b/>
          <w:kern w:val="2"/>
          <w:sz w:val="24"/>
          <w:highlight w:val="none"/>
          <w:lang w:val="en-US" w:eastAsia="zh-CN"/>
        </w:rPr>
        <w:t>管养人员名单</w:t>
      </w:r>
      <w:r>
        <w:rPr>
          <w:rFonts w:hint="eastAsia" w:ascii="宋体" w:hAnsi="宋体" w:eastAsia="宋体" w:cs="宋体"/>
          <w:b/>
          <w:kern w:val="2"/>
          <w:sz w:val="24"/>
          <w:highlight w:val="none"/>
          <w:lang w:val="zh-CN"/>
        </w:rPr>
        <w:t>明细进行</w:t>
      </w:r>
      <w:r>
        <w:rPr>
          <w:rFonts w:hint="eastAsia" w:ascii="宋体" w:hAnsi="宋体" w:eastAsia="宋体" w:cs="宋体"/>
          <w:b/>
          <w:kern w:val="2"/>
          <w:sz w:val="24"/>
          <w:highlight w:val="none"/>
          <w:lang w:val="en-US" w:eastAsia="zh-CN"/>
        </w:rPr>
        <w:t>定期或不定期</w:t>
      </w:r>
      <w:r>
        <w:rPr>
          <w:rFonts w:hint="eastAsia" w:ascii="宋体" w:hAnsi="宋体" w:eastAsia="宋体" w:cs="宋体"/>
          <w:b/>
          <w:kern w:val="2"/>
          <w:sz w:val="24"/>
          <w:highlight w:val="none"/>
          <w:lang w:val="zh-CN"/>
        </w:rPr>
        <w:t>考勤</w:t>
      </w:r>
      <w:r>
        <w:rPr>
          <w:rFonts w:hint="eastAsia" w:ascii="宋体" w:hAnsi="宋体" w:eastAsia="宋体" w:cs="宋体"/>
          <w:b/>
          <w:kern w:val="2"/>
          <w:sz w:val="24"/>
          <w:highlight w:val="none"/>
          <w:lang w:val="zh-CN" w:eastAsia="zh-CN"/>
        </w:rPr>
        <w:t>，</w:t>
      </w:r>
      <w:r>
        <w:rPr>
          <w:rFonts w:hint="eastAsia" w:ascii="宋体" w:hAnsi="宋体" w:eastAsia="宋体" w:cs="宋体"/>
          <w:b/>
          <w:kern w:val="2"/>
          <w:sz w:val="24"/>
          <w:highlight w:val="none"/>
          <w:lang w:val="en-US" w:eastAsia="zh-CN"/>
        </w:rPr>
        <w:t>若不满足以上条件，采购人有权解除合同。</w:t>
      </w:r>
    </w:p>
    <w:p w14:paraId="79EB1FF1">
      <w:pPr>
        <w:snapToGrid w:val="0"/>
        <w:spacing w:line="360" w:lineRule="auto"/>
        <w:rPr>
          <w:rFonts w:hint="default" w:ascii="宋体" w:hAnsi="宋体" w:eastAsia="宋体" w:cs="Times New Roman"/>
          <w:kern w:val="2"/>
          <w:sz w:val="24"/>
          <w:highlight w:val="none"/>
        </w:rPr>
      </w:pPr>
    </w:p>
    <w:p w14:paraId="70ADE1C8">
      <w:pPr>
        <w:autoSpaceDE w:val="0"/>
        <w:autoSpaceDN w:val="0"/>
        <w:adjustRightInd w:val="0"/>
        <w:snapToGrid w:val="0"/>
        <w:spacing w:before="25" w:after="25" w:line="360" w:lineRule="auto"/>
        <w:rPr>
          <w:rFonts w:hint="default" w:ascii="Times New Roman" w:hAnsi="Times New Roman" w:eastAsia="宋体" w:cs="Times New Roman"/>
          <w:color w:val="000000"/>
          <w:kern w:val="2"/>
          <w:sz w:val="24"/>
          <w:highlight w:val="none"/>
          <w:lang w:val="zh-CN"/>
        </w:rPr>
      </w:pPr>
      <w:r>
        <w:rPr>
          <w:rFonts w:hint="default" w:ascii="Times New Roman" w:hAnsi="Times New Roman" w:eastAsia="宋体" w:cs="Times New Roman"/>
          <w:color w:val="000000"/>
          <w:kern w:val="2"/>
          <w:sz w:val="24"/>
          <w:highlight w:val="none"/>
        </w:rPr>
        <w:t>供应商名称（加盖公章）</w:t>
      </w:r>
      <w:r>
        <w:rPr>
          <w:rFonts w:hint="default" w:ascii="Times New Roman" w:hAnsi="Times New Roman" w:eastAsia="宋体" w:cs="Times New Roman"/>
          <w:color w:val="000000"/>
          <w:kern w:val="2"/>
          <w:sz w:val="24"/>
          <w:highlight w:val="none"/>
          <w:lang w:val="zh-CN"/>
        </w:rPr>
        <w:t>： ____________</w:t>
      </w:r>
    </w:p>
    <w:p w14:paraId="0E69C972">
      <w:pPr>
        <w:autoSpaceDE w:val="0"/>
        <w:autoSpaceDN w:val="0"/>
        <w:adjustRightInd w:val="0"/>
        <w:snapToGrid w:val="0"/>
        <w:spacing w:before="25" w:after="25" w:line="360" w:lineRule="auto"/>
        <w:rPr>
          <w:rFonts w:hint="default" w:ascii="Times New Roman" w:hAnsi="Times New Roman" w:eastAsia="宋体" w:cs="Times New Roman"/>
          <w:color w:val="000000"/>
          <w:kern w:val="2"/>
          <w:sz w:val="24"/>
          <w:highlight w:val="none"/>
          <w:lang w:val="zh-CN"/>
        </w:rPr>
      </w:pPr>
      <w:r>
        <w:rPr>
          <w:rFonts w:hint="default" w:ascii="Times New Roman" w:hAnsi="Times New Roman" w:eastAsia="宋体" w:cs="Times New Roman"/>
          <w:color w:val="000000"/>
          <w:kern w:val="2"/>
          <w:sz w:val="24"/>
          <w:szCs w:val="20"/>
          <w:highlight w:val="none"/>
        </w:rPr>
        <w:t xml:space="preserve">日期：_____年______月______日   </w:t>
      </w:r>
    </w:p>
    <w:p w14:paraId="66CC75A2">
      <w:pPr>
        <w:rPr>
          <w:rFonts w:hint="eastAsia"/>
          <w:color w:val="000000" w:themeColor="text1"/>
          <w:sz w:val="24"/>
          <w:szCs w:val="20"/>
          <w:highlight w:val="none"/>
          <w:lang w:val="en-US" w:eastAsia="zh-CN"/>
          <w14:textFill>
            <w14:solidFill>
              <w14:schemeClr w14:val="tx1"/>
            </w14:solidFill>
          </w14:textFill>
        </w:rPr>
      </w:pPr>
      <w:r>
        <w:rPr>
          <w:rFonts w:hint="default" w:ascii="Times New Roman" w:hAnsi="Times New Roman" w:eastAsia="宋体" w:cs="Times New Roman"/>
          <w:kern w:val="0"/>
          <w:sz w:val="22"/>
          <w:highlight w:val="none"/>
        </w:rPr>
        <w:br w:type="page"/>
      </w:r>
    </w:p>
    <w:p w14:paraId="25DFFCA0">
      <w:pPr>
        <w:widowControl/>
        <w:jc w:val="left"/>
        <w:rPr>
          <w:color w:val="000000" w:themeColor="text1"/>
          <w:sz w:val="24"/>
          <w:szCs w:val="20"/>
          <w:highlight w:val="none"/>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8</w:t>
      </w:r>
      <w:r>
        <w:rPr>
          <w:color w:val="000000" w:themeColor="text1"/>
          <w:sz w:val="24"/>
          <w:szCs w:val="20"/>
          <w:highlight w:val="none"/>
          <w14:textFill>
            <w14:solidFill>
              <w14:schemeClr w14:val="tx1"/>
            </w14:solidFill>
          </w14:textFill>
        </w:rPr>
        <w:t xml:space="preserve">  合同条款偏离表</w:t>
      </w:r>
      <w:bookmarkEnd w:id="769"/>
      <w:bookmarkEnd w:id="770"/>
      <w:bookmarkEnd w:id="771"/>
      <w:bookmarkEnd w:id="772"/>
      <w:bookmarkEnd w:id="773"/>
      <w:bookmarkEnd w:id="774"/>
      <w:bookmarkEnd w:id="775"/>
      <w:bookmarkEnd w:id="776"/>
      <w:bookmarkEnd w:id="777"/>
      <w:bookmarkEnd w:id="778"/>
      <w:bookmarkEnd w:id="779"/>
      <w:bookmarkEnd w:id="780"/>
      <w:bookmarkEnd w:id="781"/>
    </w:p>
    <w:p w14:paraId="1541A734">
      <w:pPr>
        <w:spacing w:line="360" w:lineRule="auto"/>
        <w:rPr>
          <w:color w:val="000000" w:themeColor="text1"/>
          <w:sz w:val="24"/>
          <w:szCs w:val="20"/>
          <w:highlight w:val="none"/>
          <w14:textFill>
            <w14:solidFill>
              <w14:schemeClr w14:val="tx1"/>
            </w14:solidFill>
          </w14:textFill>
        </w:rPr>
      </w:pPr>
    </w:p>
    <w:p w14:paraId="123488D0">
      <w:pPr>
        <w:jc w:val="center"/>
        <w:rPr>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合同条款偏离表</w:t>
      </w:r>
    </w:p>
    <w:p w14:paraId="07957EDB">
      <w:pPr>
        <w:jc w:val="center"/>
        <w:rPr>
          <w:color w:val="000000" w:themeColor="text1"/>
          <w:sz w:val="36"/>
          <w:szCs w:val="36"/>
          <w:highlight w:val="none"/>
          <w14:textFill>
            <w14:solidFill>
              <w14:schemeClr w14:val="tx1"/>
            </w14:solidFill>
          </w14:textFill>
        </w:rPr>
      </w:pPr>
    </w:p>
    <w:p w14:paraId="5F2F9E6E">
      <w:pPr>
        <w:spacing w:line="360" w:lineRule="auto"/>
        <w:rPr>
          <w:color w:val="000000" w:themeColor="text1"/>
          <w:sz w:val="24"/>
          <w:szCs w:val="20"/>
          <w:highlight w:val="none"/>
          <w14:textFill>
            <w14:solidFill>
              <w14:schemeClr w14:val="tx1"/>
            </w14:solidFill>
          </w14:textFill>
        </w:rPr>
      </w:pPr>
    </w:p>
    <w:p w14:paraId="38B96657">
      <w:pPr>
        <w:tabs>
          <w:tab w:val="left" w:pos="1800"/>
          <w:tab w:val="left" w:pos="5580"/>
        </w:tabs>
        <w:spacing w:line="360" w:lineRule="auto"/>
        <w:ind w:firstLine="36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项目编号/包号：_______________     项目名称：_____________________</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7"/>
        <w:gridCol w:w="1290"/>
        <w:gridCol w:w="1980"/>
        <w:gridCol w:w="1981"/>
        <w:gridCol w:w="2427"/>
        <w:gridCol w:w="783"/>
      </w:tblGrid>
      <w:tr w14:paraId="0C9839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441C6361">
            <w:pPr>
              <w:jc w:val="left"/>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对本项目合同条款的偏离情况（请进行勾选）：</w:t>
            </w:r>
          </w:p>
          <w:p w14:paraId="473496B6">
            <w:pPr>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□无偏离</w:t>
            </w:r>
            <w:r>
              <w:rPr>
                <w:color w:val="000000" w:themeColor="text1"/>
                <w:sz w:val="24"/>
                <w:highlight w:val="none"/>
                <w14:textFill>
                  <w14:solidFill>
                    <w14:schemeClr w14:val="tx1"/>
                  </w14:solidFill>
                </w14:textFill>
              </w:rPr>
              <w:t>（</w:t>
            </w:r>
            <w:r>
              <w:rPr>
                <w:color w:val="000000" w:themeColor="text1"/>
                <w:sz w:val="24"/>
                <w:szCs w:val="21"/>
                <w:highlight w:val="none"/>
                <w14:textFill>
                  <w14:solidFill>
                    <w14:schemeClr w14:val="tx1"/>
                  </w14:solidFill>
                </w14:textFill>
              </w:rPr>
              <w:t>如无偏离，仅勾选无偏离即可</w:t>
            </w:r>
            <w:r>
              <w:rPr>
                <w:color w:val="000000" w:themeColor="text1"/>
                <w:sz w:val="24"/>
                <w:highlight w:val="none"/>
                <w14:textFill>
                  <w14:solidFill>
                    <w14:schemeClr w14:val="tx1"/>
                  </w14:solidFill>
                </w14:textFill>
              </w:rPr>
              <w:t>）</w:t>
            </w:r>
          </w:p>
          <w:p w14:paraId="4863B350">
            <w:pPr>
              <w:jc w:val="left"/>
              <w:rPr>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□有偏离</w:t>
            </w:r>
            <w:r>
              <w:rPr>
                <w:color w:val="000000" w:themeColor="text1"/>
                <w:sz w:val="24"/>
                <w:highlight w:val="none"/>
                <w14:textFill>
                  <w14:solidFill>
                    <w14:schemeClr w14:val="tx1"/>
                  </w14:solidFill>
                </w14:textFill>
              </w:rPr>
              <w:t>（</w:t>
            </w:r>
            <w:r>
              <w:rPr>
                <w:color w:val="000000" w:themeColor="text1"/>
                <w:sz w:val="24"/>
                <w:szCs w:val="21"/>
                <w:highlight w:val="none"/>
                <w14:textFill>
                  <w14:solidFill>
                    <w14:schemeClr w14:val="tx1"/>
                  </w14:solidFill>
                </w14:textFill>
              </w:rPr>
              <w:t>如有负偏离，</w:t>
            </w:r>
            <w:r>
              <w:rPr>
                <w:color w:val="000000" w:themeColor="text1"/>
                <w:sz w:val="24"/>
                <w:highlight w:val="none"/>
                <w14:textFill>
                  <w14:solidFill>
                    <w14:schemeClr w14:val="tx1"/>
                  </w14:solidFill>
                </w14:textFill>
              </w:rPr>
              <w:t>则须在本表中对负偏离项逐一列明）</w:t>
            </w:r>
          </w:p>
        </w:tc>
      </w:tr>
      <w:tr w14:paraId="1971E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D8B970C">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序号</w:t>
            </w:r>
          </w:p>
        </w:tc>
        <w:tc>
          <w:tcPr>
            <w:tcW w:w="1301" w:type="dxa"/>
            <w:noWrap w:val="0"/>
            <w:vAlign w:val="center"/>
          </w:tcPr>
          <w:p w14:paraId="21934246">
            <w:pPr>
              <w:jc w:val="center"/>
              <w:rPr>
                <w:color w:val="000000" w:themeColor="text1"/>
                <w:sz w:val="24"/>
                <w:highlight w:val="none"/>
                <w14:textFill>
                  <w14:solidFill>
                    <w14:schemeClr w14:val="tx1"/>
                  </w14:solidFill>
                </w14:textFill>
              </w:rPr>
            </w:pPr>
            <w:r>
              <w:rPr>
                <w:color w:val="000000" w:themeColor="text1"/>
                <w:sz w:val="24"/>
                <w:szCs w:val="21"/>
                <w:highlight w:val="none"/>
                <w14:textFill>
                  <w14:solidFill>
                    <w14:schemeClr w14:val="tx1"/>
                  </w14:solidFill>
                </w14:textFill>
              </w:rPr>
              <w:t>磋商文件</w:t>
            </w:r>
            <w:r>
              <w:rPr>
                <w:color w:val="000000" w:themeColor="text1"/>
                <w:sz w:val="24"/>
                <w:highlight w:val="none"/>
                <w14:textFill>
                  <w14:solidFill>
                    <w14:schemeClr w14:val="tx1"/>
                  </w14:solidFill>
                </w14:textFill>
              </w:rPr>
              <w:t>条目号（页码）</w:t>
            </w:r>
          </w:p>
        </w:tc>
        <w:tc>
          <w:tcPr>
            <w:tcW w:w="2007" w:type="dxa"/>
            <w:noWrap w:val="0"/>
            <w:vAlign w:val="center"/>
          </w:tcPr>
          <w:p w14:paraId="4F72AA70">
            <w:pPr>
              <w:jc w:val="center"/>
              <w:rPr>
                <w:color w:val="000000" w:themeColor="text1"/>
                <w:sz w:val="24"/>
                <w:highlight w:val="none"/>
                <w14:textFill>
                  <w14:solidFill>
                    <w14:schemeClr w14:val="tx1"/>
                  </w14:solidFill>
                </w14:textFill>
              </w:rPr>
            </w:pPr>
            <w:r>
              <w:rPr>
                <w:color w:val="000000" w:themeColor="text1"/>
                <w:sz w:val="24"/>
                <w:szCs w:val="21"/>
                <w:highlight w:val="none"/>
                <w14:textFill>
                  <w14:solidFill>
                    <w14:schemeClr w14:val="tx1"/>
                  </w14:solidFill>
                </w14:textFill>
              </w:rPr>
              <w:t>磋商文件</w:t>
            </w:r>
            <w:r>
              <w:rPr>
                <w:color w:val="000000" w:themeColor="text1"/>
                <w:sz w:val="24"/>
                <w:highlight w:val="none"/>
                <w14:textFill>
                  <w14:solidFill>
                    <w14:schemeClr w14:val="tx1"/>
                  </w14:solidFill>
                </w14:textFill>
              </w:rPr>
              <w:t>要求</w:t>
            </w:r>
          </w:p>
        </w:tc>
        <w:tc>
          <w:tcPr>
            <w:tcW w:w="2008" w:type="dxa"/>
            <w:noWrap w:val="0"/>
            <w:vAlign w:val="center"/>
          </w:tcPr>
          <w:p w14:paraId="677D080D">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响应文件内容</w:t>
            </w:r>
          </w:p>
        </w:tc>
        <w:tc>
          <w:tcPr>
            <w:tcW w:w="2458" w:type="dxa"/>
            <w:noWrap w:val="0"/>
            <w:vAlign w:val="center"/>
          </w:tcPr>
          <w:p w14:paraId="1FF87739">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偏离情况</w:t>
            </w:r>
          </w:p>
          <w:p w14:paraId="27CDF057">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（据实填写）</w:t>
            </w:r>
          </w:p>
        </w:tc>
        <w:tc>
          <w:tcPr>
            <w:tcW w:w="788" w:type="dxa"/>
            <w:noWrap w:val="0"/>
            <w:vAlign w:val="center"/>
          </w:tcPr>
          <w:p w14:paraId="4B076041">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说明</w:t>
            </w:r>
          </w:p>
        </w:tc>
      </w:tr>
      <w:tr w14:paraId="536DBA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2565CBF0">
            <w:pPr>
              <w:jc w:val="center"/>
              <w:rPr>
                <w:color w:val="000000" w:themeColor="text1"/>
                <w:sz w:val="24"/>
                <w:highlight w:val="none"/>
                <w14:textFill>
                  <w14:solidFill>
                    <w14:schemeClr w14:val="tx1"/>
                  </w14:solidFill>
                </w14:textFill>
              </w:rPr>
            </w:pPr>
          </w:p>
        </w:tc>
        <w:tc>
          <w:tcPr>
            <w:tcW w:w="1301" w:type="dxa"/>
            <w:noWrap w:val="0"/>
            <w:vAlign w:val="center"/>
          </w:tcPr>
          <w:p w14:paraId="38042D09">
            <w:pPr>
              <w:jc w:val="center"/>
              <w:rPr>
                <w:color w:val="000000" w:themeColor="text1"/>
                <w:sz w:val="24"/>
                <w:highlight w:val="none"/>
                <w14:textFill>
                  <w14:solidFill>
                    <w14:schemeClr w14:val="tx1"/>
                  </w14:solidFill>
                </w14:textFill>
              </w:rPr>
            </w:pPr>
          </w:p>
        </w:tc>
        <w:tc>
          <w:tcPr>
            <w:tcW w:w="2007" w:type="dxa"/>
            <w:noWrap w:val="0"/>
            <w:vAlign w:val="center"/>
          </w:tcPr>
          <w:p w14:paraId="565D5F61">
            <w:pPr>
              <w:jc w:val="center"/>
              <w:rPr>
                <w:color w:val="000000" w:themeColor="text1"/>
                <w:sz w:val="24"/>
                <w:highlight w:val="none"/>
                <w14:textFill>
                  <w14:solidFill>
                    <w14:schemeClr w14:val="tx1"/>
                  </w14:solidFill>
                </w14:textFill>
              </w:rPr>
            </w:pPr>
          </w:p>
        </w:tc>
        <w:tc>
          <w:tcPr>
            <w:tcW w:w="2008" w:type="dxa"/>
            <w:noWrap w:val="0"/>
            <w:vAlign w:val="center"/>
          </w:tcPr>
          <w:p w14:paraId="48D1B192">
            <w:pPr>
              <w:jc w:val="center"/>
              <w:rPr>
                <w:color w:val="000000" w:themeColor="text1"/>
                <w:sz w:val="24"/>
                <w:highlight w:val="none"/>
                <w14:textFill>
                  <w14:solidFill>
                    <w14:schemeClr w14:val="tx1"/>
                  </w14:solidFill>
                </w14:textFill>
              </w:rPr>
            </w:pPr>
          </w:p>
        </w:tc>
        <w:tc>
          <w:tcPr>
            <w:tcW w:w="2458" w:type="dxa"/>
            <w:noWrap w:val="0"/>
            <w:vAlign w:val="center"/>
          </w:tcPr>
          <w:p w14:paraId="39A421F9">
            <w:pPr>
              <w:jc w:val="center"/>
              <w:rPr>
                <w:color w:val="000000" w:themeColor="text1"/>
                <w:sz w:val="24"/>
                <w:highlight w:val="none"/>
                <w14:textFill>
                  <w14:solidFill>
                    <w14:schemeClr w14:val="tx1"/>
                  </w14:solidFill>
                </w14:textFill>
              </w:rPr>
            </w:pPr>
          </w:p>
        </w:tc>
        <w:tc>
          <w:tcPr>
            <w:tcW w:w="788" w:type="dxa"/>
            <w:noWrap w:val="0"/>
            <w:vAlign w:val="center"/>
          </w:tcPr>
          <w:p w14:paraId="5E43501A">
            <w:pPr>
              <w:jc w:val="center"/>
              <w:rPr>
                <w:color w:val="000000" w:themeColor="text1"/>
                <w:sz w:val="24"/>
                <w:highlight w:val="none"/>
                <w14:textFill>
                  <w14:solidFill>
                    <w14:schemeClr w14:val="tx1"/>
                  </w14:solidFill>
                </w14:textFill>
              </w:rPr>
            </w:pPr>
          </w:p>
        </w:tc>
      </w:tr>
      <w:tr w14:paraId="3B8F4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9B9090B">
            <w:pPr>
              <w:jc w:val="center"/>
              <w:rPr>
                <w:color w:val="000000" w:themeColor="text1"/>
                <w:sz w:val="24"/>
                <w:highlight w:val="none"/>
                <w14:textFill>
                  <w14:solidFill>
                    <w14:schemeClr w14:val="tx1"/>
                  </w14:solidFill>
                </w14:textFill>
              </w:rPr>
            </w:pPr>
          </w:p>
        </w:tc>
        <w:tc>
          <w:tcPr>
            <w:tcW w:w="1301" w:type="dxa"/>
            <w:noWrap w:val="0"/>
            <w:vAlign w:val="center"/>
          </w:tcPr>
          <w:p w14:paraId="130BA4A7">
            <w:pPr>
              <w:jc w:val="center"/>
              <w:rPr>
                <w:color w:val="000000" w:themeColor="text1"/>
                <w:sz w:val="24"/>
                <w:highlight w:val="none"/>
                <w14:textFill>
                  <w14:solidFill>
                    <w14:schemeClr w14:val="tx1"/>
                  </w14:solidFill>
                </w14:textFill>
              </w:rPr>
            </w:pPr>
          </w:p>
        </w:tc>
        <w:tc>
          <w:tcPr>
            <w:tcW w:w="2007" w:type="dxa"/>
            <w:noWrap w:val="0"/>
            <w:vAlign w:val="center"/>
          </w:tcPr>
          <w:p w14:paraId="4D8318BC">
            <w:pPr>
              <w:jc w:val="center"/>
              <w:rPr>
                <w:color w:val="000000" w:themeColor="text1"/>
                <w:sz w:val="24"/>
                <w:highlight w:val="none"/>
                <w14:textFill>
                  <w14:solidFill>
                    <w14:schemeClr w14:val="tx1"/>
                  </w14:solidFill>
                </w14:textFill>
              </w:rPr>
            </w:pPr>
          </w:p>
        </w:tc>
        <w:tc>
          <w:tcPr>
            <w:tcW w:w="2008" w:type="dxa"/>
            <w:noWrap w:val="0"/>
            <w:vAlign w:val="center"/>
          </w:tcPr>
          <w:p w14:paraId="54FE8450">
            <w:pPr>
              <w:jc w:val="center"/>
              <w:rPr>
                <w:color w:val="000000" w:themeColor="text1"/>
                <w:sz w:val="24"/>
                <w:highlight w:val="none"/>
                <w14:textFill>
                  <w14:solidFill>
                    <w14:schemeClr w14:val="tx1"/>
                  </w14:solidFill>
                </w14:textFill>
              </w:rPr>
            </w:pPr>
          </w:p>
        </w:tc>
        <w:tc>
          <w:tcPr>
            <w:tcW w:w="2458" w:type="dxa"/>
            <w:noWrap w:val="0"/>
            <w:vAlign w:val="center"/>
          </w:tcPr>
          <w:p w14:paraId="5AAF0209">
            <w:pPr>
              <w:jc w:val="center"/>
              <w:rPr>
                <w:color w:val="000000" w:themeColor="text1"/>
                <w:sz w:val="24"/>
                <w:highlight w:val="none"/>
                <w14:textFill>
                  <w14:solidFill>
                    <w14:schemeClr w14:val="tx1"/>
                  </w14:solidFill>
                </w14:textFill>
              </w:rPr>
            </w:pPr>
          </w:p>
        </w:tc>
        <w:tc>
          <w:tcPr>
            <w:tcW w:w="788" w:type="dxa"/>
            <w:noWrap w:val="0"/>
            <w:vAlign w:val="center"/>
          </w:tcPr>
          <w:p w14:paraId="539D62B0">
            <w:pPr>
              <w:jc w:val="center"/>
              <w:rPr>
                <w:color w:val="000000" w:themeColor="text1"/>
                <w:sz w:val="24"/>
                <w:highlight w:val="none"/>
                <w14:textFill>
                  <w14:solidFill>
                    <w14:schemeClr w14:val="tx1"/>
                  </w14:solidFill>
                </w14:textFill>
              </w:rPr>
            </w:pPr>
          </w:p>
        </w:tc>
      </w:tr>
      <w:tr w14:paraId="7A8B24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16B90824">
            <w:pPr>
              <w:jc w:val="center"/>
              <w:rPr>
                <w:color w:val="000000" w:themeColor="text1"/>
                <w:sz w:val="24"/>
                <w:highlight w:val="none"/>
                <w14:textFill>
                  <w14:solidFill>
                    <w14:schemeClr w14:val="tx1"/>
                  </w14:solidFill>
                </w14:textFill>
              </w:rPr>
            </w:pPr>
          </w:p>
        </w:tc>
        <w:tc>
          <w:tcPr>
            <w:tcW w:w="1301" w:type="dxa"/>
            <w:noWrap w:val="0"/>
            <w:vAlign w:val="center"/>
          </w:tcPr>
          <w:p w14:paraId="6E1AFAF7">
            <w:pPr>
              <w:jc w:val="center"/>
              <w:rPr>
                <w:color w:val="000000" w:themeColor="text1"/>
                <w:sz w:val="24"/>
                <w:highlight w:val="none"/>
                <w14:textFill>
                  <w14:solidFill>
                    <w14:schemeClr w14:val="tx1"/>
                  </w14:solidFill>
                </w14:textFill>
              </w:rPr>
            </w:pPr>
          </w:p>
        </w:tc>
        <w:tc>
          <w:tcPr>
            <w:tcW w:w="2007" w:type="dxa"/>
            <w:noWrap w:val="0"/>
            <w:vAlign w:val="center"/>
          </w:tcPr>
          <w:p w14:paraId="714615AE">
            <w:pPr>
              <w:jc w:val="center"/>
              <w:rPr>
                <w:color w:val="000000" w:themeColor="text1"/>
                <w:sz w:val="24"/>
                <w:highlight w:val="none"/>
                <w14:textFill>
                  <w14:solidFill>
                    <w14:schemeClr w14:val="tx1"/>
                  </w14:solidFill>
                </w14:textFill>
              </w:rPr>
            </w:pPr>
          </w:p>
        </w:tc>
        <w:tc>
          <w:tcPr>
            <w:tcW w:w="2008" w:type="dxa"/>
            <w:noWrap w:val="0"/>
            <w:vAlign w:val="center"/>
          </w:tcPr>
          <w:p w14:paraId="1B293C18">
            <w:pPr>
              <w:jc w:val="center"/>
              <w:rPr>
                <w:color w:val="000000" w:themeColor="text1"/>
                <w:sz w:val="24"/>
                <w:highlight w:val="none"/>
                <w14:textFill>
                  <w14:solidFill>
                    <w14:schemeClr w14:val="tx1"/>
                  </w14:solidFill>
                </w14:textFill>
              </w:rPr>
            </w:pPr>
          </w:p>
        </w:tc>
        <w:tc>
          <w:tcPr>
            <w:tcW w:w="2458" w:type="dxa"/>
            <w:noWrap w:val="0"/>
            <w:vAlign w:val="center"/>
          </w:tcPr>
          <w:p w14:paraId="03EBA9E2">
            <w:pPr>
              <w:jc w:val="center"/>
              <w:rPr>
                <w:color w:val="000000" w:themeColor="text1"/>
                <w:sz w:val="24"/>
                <w:highlight w:val="none"/>
                <w14:textFill>
                  <w14:solidFill>
                    <w14:schemeClr w14:val="tx1"/>
                  </w14:solidFill>
                </w14:textFill>
              </w:rPr>
            </w:pPr>
          </w:p>
        </w:tc>
        <w:tc>
          <w:tcPr>
            <w:tcW w:w="788" w:type="dxa"/>
            <w:noWrap w:val="0"/>
            <w:vAlign w:val="center"/>
          </w:tcPr>
          <w:p w14:paraId="38642CF1">
            <w:pPr>
              <w:jc w:val="center"/>
              <w:rPr>
                <w:color w:val="000000" w:themeColor="text1"/>
                <w:sz w:val="24"/>
                <w:highlight w:val="none"/>
                <w14:textFill>
                  <w14:solidFill>
                    <w14:schemeClr w14:val="tx1"/>
                  </w14:solidFill>
                </w14:textFill>
              </w:rPr>
            </w:pPr>
          </w:p>
        </w:tc>
      </w:tr>
      <w:tr w14:paraId="21D6A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4E32D1EB">
            <w:pPr>
              <w:jc w:val="center"/>
              <w:rPr>
                <w:color w:val="000000" w:themeColor="text1"/>
                <w:sz w:val="24"/>
                <w:highlight w:val="none"/>
                <w14:textFill>
                  <w14:solidFill>
                    <w14:schemeClr w14:val="tx1"/>
                  </w14:solidFill>
                </w14:textFill>
              </w:rPr>
            </w:pPr>
          </w:p>
        </w:tc>
        <w:tc>
          <w:tcPr>
            <w:tcW w:w="1301" w:type="dxa"/>
            <w:noWrap w:val="0"/>
            <w:vAlign w:val="center"/>
          </w:tcPr>
          <w:p w14:paraId="1828FA45">
            <w:pPr>
              <w:jc w:val="center"/>
              <w:rPr>
                <w:color w:val="000000" w:themeColor="text1"/>
                <w:sz w:val="24"/>
                <w:highlight w:val="none"/>
                <w14:textFill>
                  <w14:solidFill>
                    <w14:schemeClr w14:val="tx1"/>
                  </w14:solidFill>
                </w14:textFill>
              </w:rPr>
            </w:pPr>
          </w:p>
        </w:tc>
        <w:tc>
          <w:tcPr>
            <w:tcW w:w="2007" w:type="dxa"/>
            <w:noWrap w:val="0"/>
            <w:vAlign w:val="center"/>
          </w:tcPr>
          <w:p w14:paraId="7C806DEB">
            <w:pPr>
              <w:jc w:val="center"/>
              <w:rPr>
                <w:color w:val="000000" w:themeColor="text1"/>
                <w:sz w:val="24"/>
                <w:highlight w:val="none"/>
                <w14:textFill>
                  <w14:solidFill>
                    <w14:schemeClr w14:val="tx1"/>
                  </w14:solidFill>
                </w14:textFill>
              </w:rPr>
            </w:pPr>
          </w:p>
        </w:tc>
        <w:tc>
          <w:tcPr>
            <w:tcW w:w="2008" w:type="dxa"/>
            <w:noWrap w:val="0"/>
            <w:vAlign w:val="center"/>
          </w:tcPr>
          <w:p w14:paraId="5ABAB2EB">
            <w:pPr>
              <w:jc w:val="center"/>
              <w:rPr>
                <w:color w:val="000000" w:themeColor="text1"/>
                <w:sz w:val="24"/>
                <w:highlight w:val="none"/>
                <w14:textFill>
                  <w14:solidFill>
                    <w14:schemeClr w14:val="tx1"/>
                  </w14:solidFill>
                </w14:textFill>
              </w:rPr>
            </w:pPr>
          </w:p>
        </w:tc>
        <w:tc>
          <w:tcPr>
            <w:tcW w:w="2458" w:type="dxa"/>
            <w:noWrap w:val="0"/>
            <w:vAlign w:val="center"/>
          </w:tcPr>
          <w:p w14:paraId="162C8529">
            <w:pPr>
              <w:jc w:val="center"/>
              <w:rPr>
                <w:color w:val="000000" w:themeColor="text1"/>
                <w:sz w:val="24"/>
                <w:highlight w:val="none"/>
                <w14:textFill>
                  <w14:solidFill>
                    <w14:schemeClr w14:val="tx1"/>
                  </w14:solidFill>
                </w14:textFill>
              </w:rPr>
            </w:pPr>
          </w:p>
        </w:tc>
        <w:tc>
          <w:tcPr>
            <w:tcW w:w="788" w:type="dxa"/>
            <w:noWrap w:val="0"/>
            <w:vAlign w:val="center"/>
          </w:tcPr>
          <w:p w14:paraId="54989993">
            <w:pPr>
              <w:jc w:val="center"/>
              <w:rPr>
                <w:color w:val="000000" w:themeColor="text1"/>
                <w:sz w:val="24"/>
                <w:highlight w:val="none"/>
                <w14:textFill>
                  <w14:solidFill>
                    <w14:schemeClr w14:val="tx1"/>
                  </w14:solidFill>
                </w14:textFill>
              </w:rPr>
            </w:pPr>
          </w:p>
        </w:tc>
      </w:tr>
    </w:tbl>
    <w:p w14:paraId="3CB6FA57">
      <w:pPr>
        <w:tabs>
          <w:tab w:val="left" w:pos="1800"/>
          <w:tab w:val="left" w:pos="5580"/>
        </w:tabs>
        <w:jc w:val="left"/>
        <w:rPr>
          <w:color w:val="000000" w:themeColor="text1"/>
          <w:sz w:val="24"/>
          <w:highlight w:val="none"/>
          <w14:textFill>
            <w14:solidFill>
              <w14:schemeClr w14:val="tx1"/>
            </w14:solidFill>
          </w14:textFill>
        </w:rPr>
      </w:pPr>
    </w:p>
    <w:p w14:paraId="06043272">
      <w:pPr>
        <w:tabs>
          <w:tab w:val="left" w:pos="1800"/>
          <w:tab w:val="left" w:pos="5580"/>
        </w:tabs>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注：</w:t>
      </w:r>
    </w:p>
    <w:p w14:paraId="2B5D0073">
      <w:pPr>
        <w:tabs>
          <w:tab w:val="left" w:pos="1800"/>
          <w:tab w:val="left" w:pos="5580"/>
        </w:tabs>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 </w:t>
      </w:r>
      <w:r>
        <w:rPr>
          <w:rFonts w:hint="eastAsia"/>
          <w:color w:val="000000" w:themeColor="text1"/>
          <w:sz w:val="24"/>
          <w:highlight w:val="none"/>
          <w14:textFill>
            <w14:solidFill>
              <w14:schemeClr w14:val="tx1"/>
            </w14:solidFill>
          </w14:textFill>
        </w:rPr>
        <w:t>对合同条款中的所有要求，除本表所列明的所有偏离外，均视作供应商已对之理解和响应。</w:t>
      </w:r>
    </w:p>
    <w:p w14:paraId="774642AF">
      <w:pPr>
        <w:tabs>
          <w:tab w:val="left" w:pos="1800"/>
          <w:tab w:val="left" w:pos="5580"/>
        </w:tabs>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 </w:t>
      </w:r>
      <w:r>
        <w:rPr>
          <w:rFonts w:hint="eastAsia"/>
          <w:color w:val="000000" w:themeColor="text1"/>
          <w:sz w:val="24"/>
          <w:highlight w:val="none"/>
          <w14:textFill>
            <w14:solidFill>
              <w14:schemeClr w14:val="tx1"/>
            </w14:solidFill>
          </w14:textFill>
        </w:rPr>
        <w:t>“偏离情况”列应据实填写“正偏离”或“负偏离”。</w:t>
      </w:r>
    </w:p>
    <w:p w14:paraId="091B4A24">
      <w:pPr>
        <w:spacing w:line="360" w:lineRule="auto"/>
        <w:rPr>
          <w:color w:val="000000" w:themeColor="text1"/>
          <w:sz w:val="24"/>
          <w:szCs w:val="20"/>
          <w:highlight w:val="none"/>
          <w14:textFill>
            <w14:solidFill>
              <w14:schemeClr w14:val="tx1"/>
            </w14:solidFill>
          </w14:textFill>
        </w:rPr>
      </w:pPr>
    </w:p>
    <w:p w14:paraId="2B0EBE90">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lang w:val="zh-CN"/>
          <w14:textFill>
            <w14:solidFill>
              <w14:schemeClr w14:val="tx1"/>
            </w14:solidFill>
          </w14:textFill>
        </w:rPr>
        <w:t xml:space="preserve">                      </w:t>
      </w:r>
    </w:p>
    <w:p w14:paraId="5A930F13">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供应商名称（加盖公章）</w:t>
      </w:r>
      <w:r>
        <w:rPr>
          <w:color w:val="000000" w:themeColor="text1"/>
          <w:sz w:val="24"/>
          <w:highlight w:val="none"/>
          <w:lang w:val="zh-CN"/>
          <w14:textFill>
            <w14:solidFill>
              <w14:schemeClr w14:val="tx1"/>
            </w14:solidFill>
          </w14:textFill>
        </w:rPr>
        <w:t>：    ____________</w:t>
      </w:r>
    </w:p>
    <w:p w14:paraId="63C6F97B">
      <w:pPr>
        <w:spacing w:before="25" w:after="25"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p>
    <w:p w14:paraId="4DE872D0">
      <w:pPr>
        <w:spacing w:line="360" w:lineRule="auto"/>
        <w:outlineLvl w:val="2"/>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br w:type="page" w:clear="all"/>
      </w:r>
      <w:r>
        <w:rPr>
          <w:rFonts w:hint="eastAsia"/>
          <w:color w:val="000000" w:themeColor="text1"/>
          <w:sz w:val="24"/>
          <w:szCs w:val="20"/>
          <w:highlight w:val="none"/>
          <w:lang w:val="en-US" w:eastAsia="zh-CN"/>
          <w14:textFill>
            <w14:solidFill>
              <w14:schemeClr w14:val="tx1"/>
            </w14:solidFill>
          </w14:textFill>
        </w:rPr>
        <w:t>9</w:t>
      </w:r>
      <w:r>
        <w:rPr>
          <w:color w:val="000000" w:themeColor="text1"/>
          <w:sz w:val="24"/>
          <w:szCs w:val="20"/>
          <w:highlight w:val="none"/>
          <w14:textFill>
            <w14:solidFill>
              <w14:schemeClr w14:val="tx1"/>
            </w14:solidFill>
          </w14:textFill>
        </w:rPr>
        <w:t xml:space="preserve">  </w:t>
      </w:r>
      <w:bookmarkEnd w:id="782"/>
      <w:bookmarkEnd w:id="783"/>
      <w:bookmarkEnd w:id="784"/>
      <w:bookmarkEnd w:id="785"/>
      <w:bookmarkEnd w:id="786"/>
      <w:bookmarkEnd w:id="787"/>
      <w:bookmarkEnd w:id="788"/>
      <w:bookmarkEnd w:id="789"/>
      <w:bookmarkEnd w:id="790"/>
      <w:bookmarkEnd w:id="791"/>
      <w:bookmarkEnd w:id="792"/>
      <w:bookmarkEnd w:id="793"/>
      <w:bookmarkEnd w:id="794"/>
      <w:r>
        <w:rPr>
          <w:color w:val="000000" w:themeColor="text1"/>
          <w:sz w:val="24"/>
          <w:szCs w:val="20"/>
          <w:highlight w:val="none"/>
          <w14:textFill>
            <w14:solidFill>
              <w14:schemeClr w14:val="tx1"/>
            </w14:solidFill>
          </w14:textFill>
        </w:rPr>
        <w:t>采购需求偏离表</w:t>
      </w:r>
    </w:p>
    <w:p w14:paraId="7D321A0E">
      <w:pPr>
        <w:jc w:val="center"/>
        <w:rPr>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采购需求偏离表</w:t>
      </w:r>
    </w:p>
    <w:p w14:paraId="119EA338">
      <w:pPr>
        <w:jc w:val="center"/>
        <w:rPr>
          <w:color w:val="000000" w:themeColor="text1"/>
          <w:sz w:val="36"/>
          <w:szCs w:val="36"/>
          <w:highlight w:val="none"/>
          <w14:textFill>
            <w14:solidFill>
              <w14:schemeClr w14:val="tx1"/>
            </w14:solidFill>
          </w14:textFill>
        </w:rPr>
      </w:pPr>
    </w:p>
    <w:p w14:paraId="2CC9DFE0">
      <w:pPr>
        <w:tabs>
          <w:tab w:val="left" w:pos="1800"/>
          <w:tab w:val="left" w:pos="5580"/>
        </w:tabs>
        <w:spacing w:line="360" w:lineRule="auto"/>
        <w:ind w:firstLine="360"/>
        <w:jc w:val="left"/>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项目编号/包号：_____________________     项目名称：_______________________</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3051E3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34D2682B">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序号</w:t>
            </w:r>
          </w:p>
        </w:tc>
        <w:tc>
          <w:tcPr>
            <w:tcW w:w="1482" w:type="dxa"/>
            <w:noWrap w:val="0"/>
            <w:vAlign w:val="center"/>
          </w:tcPr>
          <w:p w14:paraId="5995CFBF">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磋商文件条目号(页码)</w:t>
            </w:r>
          </w:p>
        </w:tc>
        <w:tc>
          <w:tcPr>
            <w:tcW w:w="2384" w:type="dxa"/>
            <w:noWrap w:val="0"/>
            <w:vAlign w:val="center"/>
          </w:tcPr>
          <w:p w14:paraId="4FE43A50">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磋商文件要求</w:t>
            </w:r>
          </w:p>
        </w:tc>
        <w:tc>
          <w:tcPr>
            <w:tcW w:w="2126" w:type="dxa"/>
            <w:noWrap w:val="0"/>
            <w:vAlign w:val="center"/>
          </w:tcPr>
          <w:p w14:paraId="53BE7ADB">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响应内容</w:t>
            </w:r>
          </w:p>
        </w:tc>
        <w:tc>
          <w:tcPr>
            <w:tcW w:w="1875" w:type="dxa"/>
            <w:noWrap w:val="0"/>
            <w:vAlign w:val="center"/>
          </w:tcPr>
          <w:p w14:paraId="04613D5D">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偏离情况</w:t>
            </w:r>
          </w:p>
          <w:p w14:paraId="7F9D65BB">
            <w:pPr>
              <w:jc w:val="center"/>
              <w:rPr>
                <w:color w:val="000000" w:themeColor="text1"/>
                <w:sz w:val="24"/>
                <w:highlight w:val="none"/>
                <w14:textFill>
                  <w14:solidFill>
                    <w14:schemeClr w14:val="tx1"/>
                  </w14:solidFill>
                </w14:textFill>
              </w:rPr>
            </w:pPr>
            <w:r>
              <w:rPr>
                <w:color w:val="000000" w:themeColor="text1"/>
                <w:sz w:val="24"/>
                <w:szCs w:val="21"/>
                <w:highlight w:val="none"/>
                <w14:textFill>
                  <w14:solidFill>
                    <w14:schemeClr w14:val="tx1"/>
                  </w14:solidFill>
                </w14:textFill>
              </w:rPr>
              <w:t>（据实填写）</w:t>
            </w:r>
          </w:p>
        </w:tc>
        <w:tc>
          <w:tcPr>
            <w:tcW w:w="1009" w:type="dxa"/>
            <w:noWrap w:val="0"/>
            <w:vAlign w:val="center"/>
          </w:tcPr>
          <w:p w14:paraId="0EDD4ECC">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说明</w:t>
            </w:r>
          </w:p>
        </w:tc>
      </w:tr>
      <w:tr w14:paraId="7A866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0123BEB">
            <w:pPr>
              <w:jc w:val="center"/>
              <w:rPr>
                <w:color w:val="000000" w:themeColor="text1"/>
                <w:sz w:val="24"/>
                <w:highlight w:val="none"/>
                <w14:textFill>
                  <w14:solidFill>
                    <w14:schemeClr w14:val="tx1"/>
                  </w14:solidFill>
                </w14:textFill>
              </w:rPr>
            </w:pPr>
          </w:p>
        </w:tc>
        <w:tc>
          <w:tcPr>
            <w:tcW w:w="1482" w:type="dxa"/>
            <w:noWrap w:val="0"/>
            <w:vAlign w:val="center"/>
          </w:tcPr>
          <w:p w14:paraId="59F8ABC8">
            <w:pPr>
              <w:jc w:val="center"/>
              <w:rPr>
                <w:color w:val="000000" w:themeColor="text1"/>
                <w:sz w:val="24"/>
                <w:highlight w:val="none"/>
                <w14:textFill>
                  <w14:solidFill>
                    <w14:schemeClr w14:val="tx1"/>
                  </w14:solidFill>
                </w14:textFill>
              </w:rPr>
            </w:pPr>
          </w:p>
        </w:tc>
        <w:tc>
          <w:tcPr>
            <w:tcW w:w="2384" w:type="dxa"/>
            <w:noWrap w:val="0"/>
            <w:vAlign w:val="center"/>
          </w:tcPr>
          <w:p w14:paraId="7EAD91EC">
            <w:pPr>
              <w:jc w:val="center"/>
              <w:rPr>
                <w:color w:val="000000" w:themeColor="text1"/>
                <w:sz w:val="24"/>
                <w:highlight w:val="none"/>
                <w14:textFill>
                  <w14:solidFill>
                    <w14:schemeClr w14:val="tx1"/>
                  </w14:solidFill>
                </w14:textFill>
              </w:rPr>
            </w:pPr>
          </w:p>
        </w:tc>
        <w:tc>
          <w:tcPr>
            <w:tcW w:w="2126" w:type="dxa"/>
            <w:noWrap w:val="0"/>
            <w:vAlign w:val="center"/>
          </w:tcPr>
          <w:p w14:paraId="278D7A74">
            <w:pPr>
              <w:jc w:val="center"/>
              <w:rPr>
                <w:color w:val="000000" w:themeColor="text1"/>
                <w:sz w:val="24"/>
                <w:highlight w:val="none"/>
                <w14:textFill>
                  <w14:solidFill>
                    <w14:schemeClr w14:val="tx1"/>
                  </w14:solidFill>
                </w14:textFill>
              </w:rPr>
            </w:pPr>
          </w:p>
        </w:tc>
        <w:tc>
          <w:tcPr>
            <w:tcW w:w="1875" w:type="dxa"/>
            <w:noWrap w:val="0"/>
            <w:vAlign w:val="center"/>
          </w:tcPr>
          <w:p w14:paraId="0337ACC9">
            <w:pPr>
              <w:jc w:val="center"/>
              <w:rPr>
                <w:color w:val="000000" w:themeColor="text1"/>
                <w:sz w:val="24"/>
                <w:highlight w:val="none"/>
                <w14:textFill>
                  <w14:solidFill>
                    <w14:schemeClr w14:val="tx1"/>
                  </w14:solidFill>
                </w14:textFill>
              </w:rPr>
            </w:pPr>
          </w:p>
        </w:tc>
        <w:tc>
          <w:tcPr>
            <w:tcW w:w="1009" w:type="dxa"/>
            <w:noWrap w:val="0"/>
            <w:vAlign w:val="center"/>
          </w:tcPr>
          <w:p w14:paraId="60D0B02D">
            <w:pPr>
              <w:jc w:val="center"/>
              <w:rPr>
                <w:color w:val="000000" w:themeColor="text1"/>
                <w:sz w:val="24"/>
                <w:highlight w:val="none"/>
                <w14:textFill>
                  <w14:solidFill>
                    <w14:schemeClr w14:val="tx1"/>
                  </w14:solidFill>
                </w14:textFill>
              </w:rPr>
            </w:pPr>
          </w:p>
        </w:tc>
      </w:tr>
      <w:tr w14:paraId="39A1A0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36F0C7E">
            <w:pPr>
              <w:jc w:val="center"/>
              <w:rPr>
                <w:color w:val="000000" w:themeColor="text1"/>
                <w:sz w:val="24"/>
                <w:highlight w:val="none"/>
                <w14:textFill>
                  <w14:solidFill>
                    <w14:schemeClr w14:val="tx1"/>
                  </w14:solidFill>
                </w14:textFill>
              </w:rPr>
            </w:pPr>
          </w:p>
        </w:tc>
        <w:tc>
          <w:tcPr>
            <w:tcW w:w="1482" w:type="dxa"/>
            <w:noWrap w:val="0"/>
            <w:vAlign w:val="center"/>
          </w:tcPr>
          <w:p w14:paraId="4679CD31">
            <w:pPr>
              <w:jc w:val="center"/>
              <w:rPr>
                <w:color w:val="000000" w:themeColor="text1"/>
                <w:sz w:val="24"/>
                <w:highlight w:val="none"/>
                <w14:textFill>
                  <w14:solidFill>
                    <w14:schemeClr w14:val="tx1"/>
                  </w14:solidFill>
                </w14:textFill>
              </w:rPr>
            </w:pPr>
          </w:p>
        </w:tc>
        <w:tc>
          <w:tcPr>
            <w:tcW w:w="2384" w:type="dxa"/>
            <w:noWrap w:val="0"/>
            <w:vAlign w:val="center"/>
          </w:tcPr>
          <w:p w14:paraId="314BCF3F">
            <w:pPr>
              <w:jc w:val="center"/>
              <w:rPr>
                <w:color w:val="000000" w:themeColor="text1"/>
                <w:sz w:val="24"/>
                <w:highlight w:val="none"/>
                <w14:textFill>
                  <w14:solidFill>
                    <w14:schemeClr w14:val="tx1"/>
                  </w14:solidFill>
                </w14:textFill>
              </w:rPr>
            </w:pPr>
          </w:p>
        </w:tc>
        <w:tc>
          <w:tcPr>
            <w:tcW w:w="2126" w:type="dxa"/>
            <w:noWrap w:val="0"/>
            <w:vAlign w:val="center"/>
          </w:tcPr>
          <w:p w14:paraId="706B17AE">
            <w:pPr>
              <w:jc w:val="center"/>
              <w:rPr>
                <w:color w:val="000000" w:themeColor="text1"/>
                <w:sz w:val="24"/>
                <w:highlight w:val="none"/>
                <w14:textFill>
                  <w14:solidFill>
                    <w14:schemeClr w14:val="tx1"/>
                  </w14:solidFill>
                </w14:textFill>
              </w:rPr>
            </w:pPr>
          </w:p>
        </w:tc>
        <w:tc>
          <w:tcPr>
            <w:tcW w:w="1875" w:type="dxa"/>
            <w:noWrap w:val="0"/>
            <w:vAlign w:val="center"/>
          </w:tcPr>
          <w:p w14:paraId="6DA7E28E">
            <w:pPr>
              <w:jc w:val="center"/>
              <w:rPr>
                <w:color w:val="000000" w:themeColor="text1"/>
                <w:sz w:val="24"/>
                <w:highlight w:val="none"/>
                <w14:textFill>
                  <w14:solidFill>
                    <w14:schemeClr w14:val="tx1"/>
                  </w14:solidFill>
                </w14:textFill>
              </w:rPr>
            </w:pPr>
          </w:p>
        </w:tc>
        <w:tc>
          <w:tcPr>
            <w:tcW w:w="1009" w:type="dxa"/>
            <w:noWrap w:val="0"/>
            <w:vAlign w:val="center"/>
          </w:tcPr>
          <w:p w14:paraId="26AAD358">
            <w:pPr>
              <w:jc w:val="center"/>
              <w:rPr>
                <w:color w:val="000000" w:themeColor="text1"/>
                <w:sz w:val="24"/>
                <w:highlight w:val="none"/>
                <w14:textFill>
                  <w14:solidFill>
                    <w14:schemeClr w14:val="tx1"/>
                  </w14:solidFill>
                </w14:textFill>
              </w:rPr>
            </w:pPr>
          </w:p>
        </w:tc>
      </w:tr>
      <w:tr w14:paraId="25D425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ABE4379">
            <w:pPr>
              <w:jc w:val="center"/>
              <w:rPr>
                <w:color w:val="000000" w:themeColor="text1"/>
                <w:sz w:val="24"/>
                <w:highlight w:val="none"/>
                <w14:textFill>
                  <w14:solidFill>
                    <w14:schemeClr w14:val="tx1"/>
                  </w14:solidFill>
                </w14:textFill>
              </w:rPr>
            </w:pPr>
          </w:p>
        </w:tc>
        <w:tc>
          <w:tcPr>
            <w:tcW w:w="1482" w:type="dxa"/>
            <w:noWrap w:val="0"/>
            <w:vAlign w:val="center"/>
          </w:tcPr>
          <w:p w14:paraId="575C2877">
            <w:pPr>
              <w:jc w:val="center"/>
              <w:rPr>
                <w:color w:val="000000" w:themeColor="text1"/>
                <w:sz w:val="24"/>
                <w:highlight w:val="none"/>
                <w14:textFill>
                  <w14:solidFill>
                    <w14:schemeClr w14:val="tx1"/>
                  </w14:solidFill>
                </w14:textFill>
              </w:rPr>
            </w:pPr>
          </w:p>
        </w:tc>
        <w:tc>
          <w:tcPr>
            <w:tcW w:w="2384" w:type="dxa"/>
            <w:noWrap w:val="0"/>
            <w:vAlign w:val="center"/>
          </w:tcPr>
          <w:p w14:paraId="244088A5">
            <w:pPr>
              <w:jc w:val="center"/>
              <w:rPr>
                <w:color w:val="000000" w:themeColor="text1"/>
                <w:sz w:val="24"/>
                <w:highlight w:val="none"/>
                <w14:textFill>
                  <w14:solidFill>
                    <w14:schemeClr w14:val="tx1"/>
                  </w14:solidFill>
                </w14:textFill>
              </w:rPr>
            </w:pPr>
          </w:p>
        </w:tc>
        <w:tc>
          <w:tcPr>
            <w:tcW w:w="2126" w:type="dxa"/>
            <w:noWrap w:val="0"/>
            <w:vAlign w:val="center"/>
          </w:tcPr>
          <w:p w14:paraId="007A7FAD">
            <w:pPr>
              <w:jc w:val="center"/>
              <w:rPr>
                <w:color w:val="000000" w:themeColor="text1"/>
                <w:sz w:val="24"/>
                <w:highlight w:val="none"/>
                <w14:textFill>
                  <w14:solidFill>
                    <w14:schemeClr w14:val="tx1"/>
                  </w14:solidFill>
                </w14:textFill>
              </w:rPr>
            </w:pPr>
          </w:p>
        </w:tc>
        <w:tc>
          <w:tcPr>
            <w:tcW w:w="1875" w:type="dxa"/>
            <w:noWrap w:val="0"/>
            <w:vAlign w:val="center"/>
          </w:tcPr>
          <w:p w14:paraId="0C131E44">
            <w:pPr>
              <w:jc w:val="center"/>
              <w:rPr>
                <w:color w:val="000000" w:themeColor="text1"/>
                <w:sz w:val="24"/>
                <w:highlight w:val="none"/>
                <w14:textFill>
                  <w14:solidFill>
                    <w14:schemeClr w14:val="tx1"/>
                  </w14:solidFill>
                </w14:textFill>
              </w:rPr>
            </w:pPr>
          </w:p>
        </w:tc>
        <w:tc>
          <w:tcPr>
            <w:tcW w:w="1009" w:type="dxa"/>
            <w:noWrap w:val="0"/>
            <w:vAlign w:val="center"/>
          </w:tcPr>
          <w:p w14:paraId="76E59FC9">
            <w:pPr>
              <w:jc w:val="center"/>
              <w:rPr>
                <w:color w:val="000000" w:themeColor="text1"/>
                <w:sz w:val="24"/>
                <w:highlight w:val="none"/>
                <w14:textFill>
                  <w14:solidFill>
                    <w14:schemeClr w14:val="tx1"/>
                  </w14:solidFill>
                </w14:textFill>
              </w:rPr>
            </w:pPr>
          </w:p>
        </w:tc>
      </w:tr>
      <w:tr w14:paraId="0F4BEE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245F0DA">
            <w:pPr>
              <w:jc w:val="center"/>
              <w:rPr>
                <w:color w:val="000000" w:themeColor="text1"/>
                <w:sz w:val="24"/>
                <w:highlight w:val="none"/>
                <w14:textFill>
                  <w14:solidFill>
                    <w14:schemeClr w14:val="tx1"/>
                  </w14:solidFill>
                </w14:textFill>
              </w:rPr>
            </w:pPr>
          </w:p>
        </w:tc>
        <w:tc>
          <w:tcPr>
            <w:tcW w:w="1482" w:type="dxa"/>
            <w:noWrap w:val="0"/>
            <w:vAlign w:val="center"/>
          </w:tcPr>
          <w:p w14:paraId="3E67839B">
            <w:pPr>
              <w:jc w:val="center"/>
              <w:rPr>
                <w:color w:val="000000" w:themeColor="text1"/>
                <w:sz w:val="24"/>
                <w:highlight w:val="none"/>
                <w14:textFill>
                  <w14:solidFill>
                    <w14:schemeClr w14:val="tx1"/>
                  </w14:solidFill>
                </w14:textFill>
              </w:rPr>
            </w:pPr>
          </w:p>
        </w:tc>
        <w:tc>
          <w:tcPr>
            <w:tcW w:w="2384" w:type="dxa"/>
            <w:noWrap w:val="0"/>
            <w:vAlign w:val="center"/>
          </w:tcPr>
          <w:p w14:paraId="411F745F">
            <w:pPr>
              <w:jc w:val="center"/>
              <w:rPr>
                <w:color w:val="000000" w:themeColor="text1"/>
                <w:sz w:val="24"/>
                <w:highlight w:val="none"/>
                <w14:textFill>
                  <w14:solidFill>
                    <w14:schemeClr w14:val="tx1"/>
                  </w14:solidFill>
                </w14:textFill>
              </w:rPr>
            </w:pPr>
          </w:p>
        </w:tc>
        <w:tc>
          <w:tcPr>
            <w:tcW w:w="2126" w:type="dxa"/>
            <w:noWrap w:val="0"/>
            <w:vAlign w:val="center"/>
          </w:tcPr>
          <w:p w14:paraId="0C980EF3">
            <w:pPr>
              <w:jc w:val="center"/>
              <w:rPr>
                <w:color w:val="000000" w:themeColor="text1"/>
                <w:sz w:val="24"/>
                <w:highlight w:val="none"/>
                <w14:textFill>
                  <w14:solidFill>
                    <w14:schemeClr w14:val="tx1"/>
                  </w14:solidFill>
                </w14:textFill>
              </w:rPr>
            </w:pPr>
          </w:p>
        </w:tc>
        <w:tc>
          <w:tcPr>
            <w:tcW w:w="1875" w:type="dxa"/>
            <w:noWrap w:val="0"/>
            <w:vAlign w:val="center"/>
          </w:tcPr>
          <w:p w14:paraId="46FF292C">
            <w:pPr>
              <w:jc w:val="center"/>
              <w:rPr>
                <w:color w:val="000000" w:themeColor="text1"/>
                <w:sz w:val="24"/>
                <w:highlight w:val="none"/>
                <w14:textFill>
                  <w14:solidFill>
                    <w14:schemeClr w14:val="tx1"/>
                  </w14:solidFill>
                </w14:textFill>
              </w:rPr>
            </w:pPr>
          </w:p>
        </w:tc>
        <w:tc>
          <w:tcPr>
            <w:tcW w:w="1009" w:type="dxa"/>
            <w:noWrap w:val="0"/>
            <w:vAlign w:val="center"/>
          </w:tcPr>
          <w:p w14:paraId="29ED1EA3">
            <w:pPr>
              <w:jc w:val="center"/>
              <w:rPr>
                <w:color w:val="000000" w:themeColor="text1"/>
                <w:sz w:val="24"/>
                <w:highlight w:val="none"/>
                <w14:textFill>
                  <w14:solidFill>
                    <w14:schemeClr w14:val="tx1"/>
                  </w14:solidFill>
                </w14:textFill>
              </w:rPr>
            </w:pPr>
          </w:p>
        </w:tc>
      </w:tr>
      <w:tr w14:paraId="2EEC35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CDEE625">
            <w:pPr>
              <w:jc w:val="center"/>
              <w:rPr>
                <w:color w:val="000000" w:themeColor="text1"/>
                <w:sz w:val="24"/>
                <w:highlight w:val="none"/>
                <w14:textFill>
                  <w14:solidFill>
                    <w14:schemeClr w14:val="tx1"/>
                  </w14:solidFill>
                </w14:textFill>
              </w:rPr>
            </w:pPr>
          </w:p>
        </w:tc>
        <w:tc>
          <w:tcPr>
            <w:tcW w:w="1482" w:type="dxa"/>
            <w:noWrap w:val="0"/>
            <w:vAlign w:val="center"/>
          </w:tcPr>
          <w:p w14:paraId="1D82858F">
            <w:pPr>
              <w:jc w:val="center"/>
              <w:rPr>
                <w:color w:val="000000" w:themeColor="text1"/>
                <w:sz w:val="24"/>
                <w:highlight w:val="none"/>
                <w14:textFill>
                  <w14:solidFill>
                    <w14:schemeClr w14:val="tx1"/>
                  </w14:solidFill>
                </w14:textFill>
              </w:rPr>
            </w:pPr>
          </w:p>
        </w:tc>
        <w:tc>
          <w:tcPr>
            <w:tcW w:w="2384" w:type="dxa"/>
            <w:noWrap w:val="0"/>
            <w:vAlign w:val="center"/>
          </w:tcPr>
          <w:p w14:paraId="4292C323">
            <w:pPr>
              <w:jc w:val="center"/>
              <w:rPr>
                <w:color w:val="000000" w:themeColor="text1"/>
                <w:sz w:val="24"/>
                <w:highlight w:val="none"/>
                <w14:textFill>
                  <w14:solidFill>
                    <w14:schemeClr w14:val="tx1"/>
                  </w14:solidFill>
                </w14:textFill>
              </w:rPr>
            </w:pPr>
          </w:p>
        </w:tc>
        <w:tc>
          <w:tcPr>
            <w:tcW w:w="2126" w:type="dxa"/>
            <w:noWrap w:val="0"/>
            <w:vAlign w:val="center"/>
          </w:tcPr>
          <w:p w14:paraId="74886B36">
            <w:pPr>
              <w:jc w:val="center"/>
              <w:rPr>
                <w:color w:val="000000" w:themeColor="text1"/>
                <w:sz w:val="24"/>
                <w:highlight w:val="none"/>
                <w14:textFill>
                  <w14:solidFill>
                    <w14:schemeClr w14:val="tx1"/>
                  </w14:solidFill>
                </w14:textFill>
              </w:rPr>
            </w:pPr>
          </w:p>
        </w:tc>
        <w:tc>
          <w:tcPr>
            <w:tcW w:w="1875" w:type="dxa"/>
            <w:noWrap w:val="0"/>
            <w:vAlign w:val="center"/>
          </w:tcPr>
          <w:p w14:paraId="0D78C464">
            <w:pPr>
              <w:jc w:val="center"/>
              <w:rPr>
                <w:color w:val="000000" w:themeColor="text1"/>
                <w:sz w:val="24"/>
                <w:highlight w:val="none"/>
                <w14:textFill>
                  <w14:solidFill>
                    <w14:schemeClr w14:val="tx1"/>
                  </w14:solidFill>
                </w14:textFill>
              </w:rPr>
            </w:pPr>
          </w:p>
        </w:tc>
        <w:tc>
          <w:tcPr>
            <w:tcW w:w="1009" w:type="dxa"/>
            <w:noWrap w:val="0"/>
            <w:vAlign w:val="center"/>
          </w:tcPr>
          <w:p w14:paraId="2594AEAC">
            <w:pPr>
              <w:jc w:val="center"/>
              <w:rPr>
                <w:color w:val="000000" w:themeColor="text1"/>
                <w:sz w:val="24"/>
                <w:highlight w:val="none"/>
                <w14:textFill>
                  <w14:solidFill>
                    <w14:schemeClr w14:val="tx1"/>
                  </w14:solidFill>
                </w14:textFill>
              </w:rPr>
            </w:pPr>
          </w:p>
        </w:tc>
      </w:tr>
      <w:tr w14:paraId="3D0F76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8127CE8">
            <w:pPr>
              <w:jc w:val="center"/>
              <w:rPr>
                <w:color w:val="000000" w:themeColor="text1"/>
                <w:sz w:val="24"/>
                <w:highlight w:val="none"/>
                <w14:textFill>
                  <w14:solidFill>
                    <w14:schemeClr w14:val="tx1"/>
                  </w14:solidFill>
                </w14:textFill>
              </w:rPr>
            </w:pPr>
          </w:p>
        </w:tc>
        <w:tc>
          <w:tcPr>
            <w:tcW w:w="1482" w:type="dxa"/>
            <w:noWrap w:val="0"/>
            <w:vAlign w:val="center"/>
          </w:tcPr>
          <w:p w14:paraId="3DC09B35">
            <w:pPr>
              <w:jc w:val="center"/>
              <w:rPr>
                <w:color w:val="000000" w:themeColor="text1"/>
                <w:sz w:val="24"/>
                <w:highlight w:val="none"/>
                <w14:textFill>
                  <w14:solidFill>
                    <w14:schemeClr w14:val="tx1"/>
                  </w14:solidFill>
                </w14:textFill>
              </w:rPr>
            </w:pPr>
          </w:p>
        </w:tc>
        <w:tc>
          <w:tcPr>
            <w:tcW w:w="2384" w:type="dxa"/>
            <w:noWrap w:val="0"/>
            <w:vAlign w:val="center"/>
          </w:tcPr>
          <w:p w14:paraId="58F09AA7">
            <w:pPr>
              <w:jc w:val="center"/>
              <w:rPr>
                <w:color w:val="000000" w:themeColor="text1"/>
                <w:sz w:val="24"/>
                <w:highlight w:val="none"/>
                <w14:textFill>
                  <w14:solidFill>
                    <w14:schemeClr w14:val="tx1"/>
                  </w14:solidFill>
                </w14:textFill>
              </w:rPr>
            </w:pPr>
          </w:p>
        </w:tc>
        <w:tc>
          <w:tcPr>
            <w:tcW w:w="2126" w:type="dxa"/>
            <w:noWrap w:val="0"/>
            <w:vAlign w:val="center"/>
          </w:tcPr>
          <w:p w14:paraId="3F9EC9B3">
            <w:pPr>
              <w:jc w:val="center"/>
              <w:rPr>
                <w:color w:val="000000" w:themeColor="text1"/>
                <w:sz w:val="24"/>
                <w:highlight w:val="none"/>
                <w14:textFill>
                  <w14:solidFill>
                    <w14:schemeClr w14:val="tx1"/>
                  </w14:solidFill>
                </w14:textFill>
              </w:rPr>
            </w:pPr>
          </w:p>
        </w:tc>
        <w:tc>
          <w:tcPr>
            <w:tcW w:w="1875" w:type="dxa"/>
            <w:noWrap w:val="0"/>
            <w:vAlign w:val="center"/>
          </w:tcPr>
          <w:p w14:paraId="6D7BF65E">
            <w:pPr>
              <w:jc w:val="center"/>
              <w:rPr>
                <w:color w:val="000000" w:themeColor="text1"/>
                <w:sz w:val="24"/>
                <w:highlight w:val="none"/>
                <w14:textFill>
                  <w14:solidFill>
                    <w14:schemeClr w14:val="tx1"/>
                  </w14:solidFill>
                </w14:textFill>
              </w:rPr>
            </w:pPr>
          </w:p>
        </w:tc>
        <w:tc>
          <w:tcPr>
            <w:tcW w:w="1009" w:type="dxa"/>
            <w:noWrap w:val="0"/>
            <w:vAlign w:val="center"/>
          </w:tcPr>
          <w:p w14:paraId="28908A17">
            <w:pPr>
              <w:jc w:val="center"/>
              <w:rPr>
                <w:color w:val="000000" w:themeColor="text1"/>
                <w:sz w:val="24"/>
                <w:highlight w:val="none"/>
                <w14:textFill>
                  <w14:solidFill>
                    <w14:schemeClr w14:val="tx1"/>
                  </w14:solidFill>
                </w14:textFill>
              </w:rPr>
            </w:pPr>
          </w:p>
        </w:tc>
      </w:tr>
    </w:tbl>
    <w:p w14:paraId="60BF9821">
      <w:pPr>
        <w:tabs>
          <w:tab w:val="left" w:pos="1800"/>
          <w:tab w:val="left" w:pos="5580"/>
        </w:tabs>
        <w:spacing w:line="360" w:lineRule="auto"/>
        <w:ind w:firstLine="360"/>
        <w:jc w:val="left"/>
        <w:rPr>
          <w:color w:val="000000" w:themeColor="text1"/>
          <w:sz w:val="24"/>
          <w:highlight w:val="none"/>
          <w:u w:val="single"/>
          <w14:textFill>
            <w14:solidFill>
              <w14:schemeClr w14:val="tx1"/>
            </w14:solidFill>
          </w14:textFill>
        </w:rPr>
      </w:pPr>
    </w:p>
    <w:p w14:paraId="62F83496">
      <w:pPr>
        <w:tabs>
          <w:tab w:val="left" w:pos="1800"/>
          <w:tab w:val="left" w:pos="5580"/>
        </w:tabs>
        <w:spacing w:line="360" w:lineRule="auto"/>
        <w:ind w:firstLine="360"/>
        <w:jc w:val="left"/>
        <w:rPr>
          <w:color w:val="000000" w:themeColor="text1"/>
          <w:sz w:val="24"/>
          <w:highlight w:val="none"/>
          <w:u w:val="single"/>
          <w14:textFill>
            <w14:solidFill>
              <w14:schemeClr w14:val="tx1"/>
            </w14:solidFill>
          </w14:textFill>
        </w:rPr>
      </w:pPr>
    </w:p>
    <w:p w14:paraId="13D06AD0">
      <w:pPr>
        <w:tabs>
          <w:tab w:val="left" w:pos="1800"/>
          <w:tab w:val="left" w:pos="5580"/>
        </w:tabs>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w:t>
      </w:r>
    </w:p>
    <w:p w14:paraId="781A45EC">
      <w:pPr>
        <w:tabs>
          <w:tab w:val="left" w:pos="1800"/>
          <w:tab w:val="left" w:pos="5580"/>
        </w:tabs>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 xml:space="preserve"> 对磋商文件中的所有商务、技术要求，除本表所列明的所有偏离外，均视作供应商已对之理解和</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。此表中若无任何文字说明，内容为空白，则</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1EBACA56">
      <w:pPr>
        <w:tabs>
          <w:tab w:val="left" w:pos="1800"/>
          <w:tab w:val="left" w:pos="5580"/>
        </w:tabs>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r>
        <w:rPr>
          <w:rFonts w:hint="eastAsia"/>
          <w:color w:val="000000" w:themeColor="text1"/>
          <w:sz w:val="24"/>
          <w:highlight w:val="none"/>
          <w14:textFill>
            <w14:solidFill>
              <w14:schemeClr w14:val="tx1"/>
            </w14:solidFill>
          </w14:textFill>
        </w:rPr>
        <w:t>“偏离情况”列应据实填写“正偏离”或“负偏离”</w:t>
      </w:r>
      <w:r>
        <w:rPr>
          <w:rFonts w:hint="eastAsia" w:eastAsia="宋体"/>
          <w:sz w:val="24"/>
          <w:highlight w:val="none"/>
          <w:lang w:eastAsia="zh-CN"/>
        </w:rPr>
        <w:t>或“无偏离”</w:t>
      </w:r>
      <w:r>
        <w:rPr>
          <w:rFonts w:hint="eastAsia"/>
          <w:color w:val="000000" w:themeColor="text1"/>
          <w:sz w:val="24"/>
          <w:highlight w:val="none"/>
          <w14:textFill>
            <w14:solidFill>
              <w14:schemeClr w14:val="tx1"/>
            </w14:solidFill>
          </w14:textFill>
        </w:rPr>
        <w:t>。</w:t>
      </w:r>
    </w:p>
    <w:p w14:paraId="06A0FBD9">
      <w:pPr>
        <w:rPr>
          <w:color w:val="000000" w:themeColor="text1"/>
          <w:sz w:val="24"/>
          <w:szCs w:val="20"/>
          <w:highlight w:val="none"/>
          <w14:textFill>
            <w14:solidFill>
              <w14:schemeClr w14:val="tx1"/>
            </w14:solidFill>
          </w14:textFill>
        </w:rPr>
      </w:pPr>
    </w:p>
    <w:p w14:paraId="3D60A9B6">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lang w:val="zh-CN"/>
          <w14:textFill>
            <w14:solidFill>
              <w14:schemeClr w14:val="tx1"/>
            </w14:solidFill>
          </w14:textFill>
        </w:rPr>
        <w:t xml:space="preserve">                  </w:t>
      </w:r>
    </w:p>
    <w:p w14:paraId="726E1CC9">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供应商名称（加盖公章）</w:t>
      </w:r>
      <w:r>
        <w:rPr>
          <w:color w:val="000000" w:themeColor="text1"/>
          <w:sz w:val="24"/>
          <w:highlight w:val="none"/>
          <w:lang w:val="zh-CN"/>
          <w14:textFill>
            <w14:solidFill>
              <w14:schemeClr w14:val="tx1"/>
            </w14:solidFill>
          </w14:textFill>
        </w:rPr>
        <w:t>：    ____________</w:t>
      </w:r>
    </w:p>
    <w:p w14:paraId="69293BF6">
      <w:pPr>
        <w:spacing w:before="25" w:after="25"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p>
    <w:p w14:paraId="00F96769">
      <w:pPr>
        <w:rPr>
          <w:rFonts w:hint="eastAsia"/>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br w:type="page" w:clear="all"/>
      </w:r>
    </w:p>
    <w:p w14:paraId="39619619">
      <w:pPr>
        <w:rPr>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1</w:t>
      </w:r>
      <w:r>
        <w:rPr>
          <w:rFonts w:hint="eastAsia"/>
          <w:color w:val="000000" w:themeColor="text1"/>
          <w:sz w:val="24"/>
          <w:szCs w:val="20"/>
          <w:highlight w:val="none"/>
          <w:lang w:val="en-US" w:eastAsia="zh-CN"/>
          <w14:textFill>
            <w14:solidFill>
              <w14:schemeClr w14:val="tx1"/>
            </w14:solidFill>
          </w14:textFill>
        </w:rPr>
        <w:t>0</w:t>
      </w:r>
      <w:r>
        <w:rPr>
          <w:rFonts w:hint="eastAsia"/>
          <w:color w:val="000000" w:themeColor="text1"/>
          <w:sz w:val="24"/>
          <w:szCs w:val="20"/>
          <w:highlight w:val="none"/>
          <w14:textFill>
            <w14:solidFill>
              <w14:schemeClr w14:val="tx1"/>
            </w14:solidFill>
          </w14:textFill>
        </w:rPr>
        <w:t xml:space="preserve"> </w:t>
      </w:r>
      <w:bookmarkStart w:id="795" w:name="_Toc288738397"/>
      <w:bookmarkStart w:id="796" w:name="_Toc288738839"/>
      <w:r>
        <w:rPr>
          <w:rFonts w:hint="eastAsia"/>
          <w:color w:val="000000" w:themeColor="text1"/>
          <w:sz w:val="24"/>
          <w:szCs w:val="20"/>
          <w:highlight w:val="none"/>
          <w14:textFill>
            <w14:solidFill>
              <w14:schemeClr w14:val="tx1"/>
            </w14:solidFill>
          </w14:textFill>
        </w:rPr>
        <w:t xml:space="preserve"> 相关业绩案例一览表</w:t>
      </w:r>
    </w:p>
    <w:p w14:paraId="03124276">
      <w:pPr>
        <w:rPr>
          <w:color w:val="000000" w:themeColor="text1"/>
          <w:sz w:val="24"/>
          <w:szCs w:val="20"/>
          <w:highlight w:val="none"/>
          <w14:textFill>
            <w14:solidFill>
              <w14:schemeClr w14:val="tx1"/>
            </w14:solidFill>
          </w14:textFill>
        </w:rPr>
      </w:pPr>
    </w:p>
    <w:p w14:paraId="56A17038">
      <w:pPr>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相关业绩案例一览表</w:t>
      </w:r>
      <w:bookmarkEnd w:id="795"/>
      <w:bookmarkEnd w:id="796"/>
    </w:p>
    <w:p w14:paraId="2C83020E">
      <w:pPr>
        <w:spacing w:line="360" w:lineRule="auto"/>
        <w:jc w:val="center"/>
        <w:rPr>
          <w:rFonts w:ascii="宋体" w:hAnsi="宋体"/>
          <w:b/>
          <w:color w:val="000000" w:themeColor="text1"/>
          <w:sz w:val="28"/>
          <w:szCs w:val="30"/>
          <w:highlight w:val="none"/>
          <w14:textFill>
            <w14:solidFill>
              <w14:schemeClr w14:val="tx1"/>
            </w14:solidFill>
          </w14:textFill>
        </w:rPr>
      </w:pPr>
    </w:p>
    <w:p w14:paraId="085E25EB">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项目编号：</w:t>
      </w:r>
      <w:r>
        <w:rPr>
          <w:rFonts w:hint="eastAsia" w:ascii="宋体" w:hAnsi="宋体" w:cs="宋体"/>
          <w:color w:val="000000" w:themeColor="text1"/>
          <w:sz w:val="24"/>
          <w:highlight w:val="none"/>
          <w:u w:val="single"/>
          <w14:textFill>
            <w14:solidFill>
              <w14:schemeClr w14:val="tx1"/>
            </w14:solidFill>
          </w14:textFill>
        </w:rPr>
        <w:t xml:space="preserve">                   </w:t>
      </w:r>
    </w:p>
    <w:tbl>
      <w:tblPr>
        <w:tblStyle w:val="30"/>
        <w:tblW w:w="0" w:type="auto"/>
        <w:jc w:val="center"/>
        <w:tblLayout w:type="fixed"/>
        <w:tblCellMar>
          <w:top w:w="0" w:type="dxa"/>
          <w:left w:w="108" w:type="dxa"/>
          <w:bottom w:w="0" w:type="dxa"/>
          <w:right w:w="108" w:type="dxa"/>
        </w:tblCellMar>
      </w:tblPr>
      <w:tblGrid>
        <w:gridCol w:w="1284"/>
        <w:gridCol w:w="1681"/>
        <w:gridCol w:w="1521"/>
        <w:gridCol w:w="1198"/>
        <w:gridCol w:w="1730"/>
        <w:gridCol w:w="1950"/>
      </w:tblGrid>
      <w:tr w14:paraId="2CAA55AD">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54E52623">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4D1F1623">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72219070">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33C983A2">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06B509DD">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单位地址</w:t>
            </w:r>
          </w:p>
        </w:tc>
        <w:tc>
          <w:tcPr>
            <w:tcW w:w="1950" w:type="dxa"/>
            <w:tcBorders>
              <w:top w:val="single" w:color="000000" w:sz="6" w:space="0"/>
              <w:left w:val="single" w:color="000000" w:sz="6" w:space="0"/>
              <w:bottom w:val="single" w:color="000000" w:sz="6" w:space="0"/>
              <w:right w:val="single" w:color="000000" w:sz="6" w:space="0"/>
            </w:tcBorders>
            <w:noWrap w:val="0"/>
            <w:vAlign w:val="center"/>
          </w:tcPr>
          <w:p w14:paraId="43E80324">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联系电话</w:t>
            </w:r>
          </w:p>
        </w:tc>
      </w:tr>
      <w:tr w14:paraId="2958B52E">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1BBA8DCC">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5A24AD30">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3DA5C820">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493C0E8E">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76714C98">
            <w:pPr>
              <w:tabs>
                <w:tab w:val="left" w:pos="9765"/>
              </w:tabs>
              <w:spacing w:line="360" w:lineRule="auto"/>
              <w:ind w:hanging="523"/>
              <w:jc w:val="center"/>
              <w:rPr>
                <w:rFonts w:ascii="宋体" w:hAnsi="宋体" w:cs="宋体"/>
                <w:color w:val="000000" w:themeColor="text1"/>
                <w:sz w:val="24"/>
                <w:highlight w:val="none"/>
                <w14:textFill>
                  <w14:solidFill>
                    <w14:schemeClr w14:val="tx1"/>
                  </w14:solidFill>
                </w14:textFill>
              </w:rPr>
            </w:pPr>
          </w:p>
        </w:tc>
        <w:tc>
          <w:tcPr>
            <w:tcW w:w="1950" w:type="dxa"/>
            <w:tcBorders>
              <w:top w:val="single" w:color="000000" w:sz="6" w:space="0"/>
              <w:left w:val="single" w:color="000000" w:sz="6" w:space="0"/>
              <w:bottom w:val="single" w:color="000000" w:sz="6" w:space="0"/>
              <w:right w:val="single" w:color="000000" w:sz="6" w:space="0"/>
            </w:tcBorders>
            <w:noWrap w:val="0"/>
            <w:vAlign w:val="center"/>
          </w:tcPr>
          <w:p w14:paraId="6B3CDF27">
            <w:pPr>
              <w:tabs>
                <w:tab w:val="left" w:pos="9765"/>
              </w:tabs>
              <w:spacing w:line="360" w:lineRule="auto"/>
              <w:ind w:hanging="523"/>
              <w:jc w:val="center"/>
              <w:rPr>
                <w:rFonts w:ascii="宋体" w:hAnsi="宋体" w:cs="宋体"/>
                <w:color w:val="000000" w:themeColor="text1"/>
                <w:sz w:val="24"/>
                <w:highlight w:val="none"/>
                <w14:textFill>
                  <w14:solidFill>
                    <w14:schemeClr w14:val="tx1"/>
                  </w14:solidFill>
                </w14:textFill>
              </w:rPr>
            </w:pPr>
          </w:p>
        </w:tc>
      </w:tr>
      <w:tr w14:paraId="6383C8D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44CAE94">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05519DCC">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E6DE6A3">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5D91D43">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578780C">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5918543B">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04BEBAC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56DD34C">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2C93950E">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2A47DC9">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214F08D8">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31B397C">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6DB53913">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6DEF4B85">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D256C5B">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01B8C007">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81794CE">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685AA93">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730F447">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57B75F16">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6C23A1F0">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9F87541">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E700D85">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D1C5EBE">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177DB07">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D3C5D10">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1EB25D3C">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3B8D46A1">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ADC20F2">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A81AE0F">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891171A">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40A55FA">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51A2632C">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4AE46CA2">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0F10AEB2">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06CF843">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0EC886D4">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9E882E7">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0637BDC">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AC0828D">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51147050">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7CA6B5D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02499D2">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CA1D31F">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31BCFF0">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AA84973">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57B7D6B">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5138FB34">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7963680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C1F5A93">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2FE691BB">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78C6124">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B1CA250">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AA6A2BC">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5ED2C6CE">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bl>
    <w:p w14:paraId="0AAD7B4A">
      <w:pPr>
        <w:tabs>
          <w:tab w:val="left" w:pos="9765"/>
        </w:tabs>
        <w:rPr>
          <w:rFonts w:ascii="宋体" w:hAnsi="宋体" w:cs="宋体"/>
          <w:color w:val="000000" w:themeColor="text1"/>
          <w:sz w:val="24"/>
          <w:highlight w:val="none"/>
          <w14:textFill>
            <w14:solidFill>
              <w14:schemeClr w14:val="tx1"/>
            </w14:solidFill>
          </w14:textFill>
        </w:rPr>
      </w:pPr>
    </w:p>
    <w:p w14:paraId="0262AB54">
      <w:pPr>
        <w:spacing w:line="360" w:lineRule="auto"/>
        <w:rPr>
          <w:rFonts w:ascii="宋体" w:hAnsi="宋体" w:cs="宋体"/>
          <w:color w:val="000000" w:themeColor="text1"/>
          <w:sz w:val="24"/>
          <w:highlight w:val="none"/>
          <w14:textFill>
            <w14:solidFill>
              <w14:schemeClr w14:val="tx1"/>
            </w14:solidFill>
          </w14:textFill>
        </w:rPr>
      </w:pPr>
    </w:p>
    <w:p w14:paraId="5B6796F0">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供应商名称（加盖公章）</w:t>
      </w:r>
      <w:r>
        <w:rPr>
          <w:color w:val="000000" w:themeColor="text1"/>
          <w:sz w:val="24"/>
          <w:highlight w:val="none"/>
          <w:lang w:val="zh-CN"/>
          <w14:textFill>
            <w14:solidFill>
              <w14:schemeClr w14:val="tx1"/>
            </w14:solidFill>
          </w14:textFill>
        </w:rPr>
        <w:t>：    ____________</w:t>
      </w:r>
    </w:p>
    <w:p w14:paraId="39B75BED">
      <w:pPr>
        <w:spacing w:before="25" w:after="25"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p>
    <w:p w14:paraId="2F10EC8F">
      <w:pPr>
        <w:spacing w:line="360" w:lineRule="auto"/>
        <w:outlineLvl w:val="2"/>
        <w:rPr>
          <w:rFonts w:hint="eastAsia"/>
          <w:color w:val="000000" w:themeColor="text1"/>
          <w:sz w:val="24"/>
          <w:szCs w:val="20"/>
          <w:highlight w:val="none"/>
          <w14:textFill>
            <w14:solidFill>
              <w14:schemeClr w14:val="tx1"/>
            </w14:solidFill>
          </w14:textFill>
        </w:rPr>
      </w:pPr>
    </w:p>
    <w:p w14:paraId="3FF3B5B5">
      <w:pPr>
        <w:spacing w:line="360" w:lineRule="auto"/>
        <w:outlineLvl w:val="2"/>
        <w:rPr>
          <w:rFonts w:hint="eastAsia"/>
          <w:color w:val="000000" w:themeColor="text1"/>
          <w:sz w:val="24"/>
          <w:szCs w:val="20"/>
          <w:highlight w:val="none"/>
          <w14:textFill>
            <w14:solidFill>
              <w14:schemeClr w14:val="tx1"/>
            </w14:solidFill>
          </w14:textFill>
        </w:rPr>
      </w:pPr>
    </w:p>
    <w:p w14:paraId="39984ED9">
      <w:pPr>
        <w:spacing w:line="360" w:lineRule="auto"/>
        <w:outlineLvl w:val="2"/>
        <w:rPr>
          <w:rFonts w:hint="eastAsia"/>
          <w:color w:val="000000" w:themeColor="text1"/>
          <w:sz w:val="24"/>
          <w:szCs w:val="20"/>
          <w:highlight w:val="none"/>
          <w14:textFill>
            <w14:solidFill>
              <w14:schemeClr w14:val="tx1"/>
            </w14:solidFill>
          </w14:textFill>
        </w:rPr>
      </w:pPr>
    </w:p>
    <w:p w14:paraId="4EAB0870">
      <w:pPr>
        <w:spacing w:line="360" w:lineRule="auto"/>
        <w:outlineLvl w:val="2"/>
        <w:rPr>
          <w:rFonts w:hint="eastAsia"/>
          <w:color w:val="000000" w:themeColor="text1"/>
          <w:sz w:val="24"/>
          <w:szCs w:val="20"/>
          <w:highlight w:val="none"/>
          <w14:textFill>
            <w14:solidFill>
              <w14:schemeClr w14:val="tx1"/>
            </w14:solidFill>
          </w14:textFill>
        </w:rPr>
      </w:pPr>
    </w:p>
    <w:p w14:paraId="5C65CB6A">
      <w:pPr>
        <w:spacing w:line="360" w:lineRule="auto"/>
        <w:outlineLvl w:val="2"/>
        <w:rPr>
          <w:rFonts w:hint="eastAsia"/>
          <w:color w:val="000000" w:themeColor="text1"/>
          <w:sz w:val="24"/>
          <w:szCs w:val="20"/>
          <w:highlight w:val="none"/>
          <w14:textFill>
            <w14:solidFill>
              <w14:schemeClr w14:val="tx1"/>
            </w14:solidFill>
          </w14:textFill>
        </w:rPr>
      </w:pPr>
    </w:p>
    <w:p w14:paraId="6E99D9B2">
      <w:pPr>
        <w:spacing w:line="360" w:lineRule="auto"/>
        <w:outlineLvl w:val="2"/>
        <w:rPr>
          <w:rFonts w:hint="eastAsia"/>
          <w:color w:val="000000" w:themeColor="text1"/>
          <w:sz w:val="24"/>
          <w:szCs w:val="20"/>
          <w:highlight w:val="none"/>
          <w14:textFill>
            <w14:solidFill>
              <w14:schemeClr w14:val="tx1"/>
            </w14:solidFill>
          </w14:textFill>
        </w:rPr>
      </w:pPr>
    </w:p>
    <w:p w14:paraId="52CD67EE">
      <w:pPr>
        <w:spacing w:line="360" w:lineRule="auto"/>
        <w:outlineLvl w:val="2"/>
        <w:rPr>
          <w:rFonts w:hint="eastAsia"/>
          <w:color w:val="000000" w:themeColor="text1"/>
          <w:sz w:val="24"/>
          <w:szCs w:val="20"/>
          <w:highlight w:val="none"/>
          <w14:textFill>
            <w14:solidFill>
              <w14:schemeClr w14:val="tx1"/>
            </w14:solidFill>
          </w14:textFill>
        </w:rPr>
      </w:pPr>
    </w:p>
    <w:p w14:paraId="27BB97F5">
      <w:pPr>
        <w:spacing w:line="360" w:lineRule="auto"/>
        <w:outlineLvl w:val="2"/>
        <w:rPr>
          <w:rFonts w:hint="eastAsia"/>
          <w:color w:val="000000" w:themeColor="text1"/>
          <w:sz w:val="24"/>
          <w:szCs w:val="20"/>
          <w:highlight w:val="none"/>
          <w14:textFill>
            <w14:solidFill>
              <w14:schemeClr w14:val="tx1"/>
            </w14:solidFill>
          </w14:textFill>
        </w:rPr>
      </w:pPr>
    </w:p>
    <w:p w14:paraId="0E2B3678">
      <w:pPr>
        <w:spacing w:line="360" w:lineRule="auto"/>
        <w:outlineLvl w:val="2"/>
        <w:rPr>
          <w:rFonts w:hint="eastAsia"/>
          <w:color w:val="000000" w:themeColor="text1"/>
          <w:sz w:val="24"/>
          <w:szCs w:val="20"/>
          <w:highlight w:val="none"/>
          <w14:textFill>
            <w14:solidFill>
              <w14:schemeClr w14:val="tx1"/>
            </w14:solidFill>
          </w14:textFill>
        </w:rPr>
      </w:pPr>
    </w:p>
    <w:p w14:paraId="68690C53">
      <w:pPr>
        <w:spacing w:line="360" w:lineRule="auto"/>
        <w:outlineLvl w:val="2"/>
        <w:rPr>
          <w:rFonts w:hint="eastAsia"/>
          <w:color w:val="000000" w:themeColor="text1"/>
          <w:sz w:val="24"/>
          <w:szCs w:val="20"/>
          <w:highlight w:val="none"/>
          <w14:textFill>
            <w14:solidFill>
              <w14:schemeClr w14:val="tx1"/>
            </w14:solidFill>
          </w14:textFill>
        </w:rPr>
      </w:pPr>
    </w:p>
    <w:p w14:paraId="47DEA762">
      <w:pPr>
        <w:spacing w:line="360" w:lineRule="auto"/>
        <w:outlineLvl w:val="2"/>
        <w:rPr>
          <w:rFonts w:hint="eastAsia"/>
          <w:color w:val="000000" w:themeColor="text1"/>
          <w:sz w:val="24"/>
          <w:szCs w:val="20"/>
          <w:highlight w:val="none"/>
          <w14:textFill>
            <w14:solidFill>
              <w14:schemeClr w14:val="tx1"/>
            </w14:solidFill>
          </w14:textFill>
        </w:rPr>
      </w:pPr>
    </w:p>
    <w:p w14:paraId="28B1A980">
      <w:pPr>
        <w:spacing w:line="360" w:lineRule="auto"/>
        <w:outlineLvl w:val="2"/>
        <w:rPr>
          <w:color w:val="000000" w:themeColor="text1"/>
          <w:sz w:val="24"/>
          <w:szCs w:val="20"/>
          <w:highlight w:val="none"/>
          <w14:textFill>
            <w14:solidFill>
              <w14:schemeClr w14:val="tx1"/>
            </w14:solidFill>
          </w14:textFill>
        </w:rPr>
      </w:pPr>
    </w:p>
    <w:p w14:paraId="0B4BCC3C">
      <w:pPr>
        <w:spacing w:line="360" w:lineRule="auto"/>
        <w:outlineLvl w:val="2"/>
        <w:rPr>
          <w:color w:val="000000" w:themeColor="text1"/>
          <w:sz w:val="24"/>
          <w:szCs w:val="20"/>
          <w:highlight w:val="none"/>
          <w14:textFill>
            <w14:solidFill>
              <w14:schemeClr w14:val="tx1"/>
            </w14:solidFill>
          </w14:textFill>
        </w:rPr>
      </w:pPr>
    </w:p>
    <w:p w14:paraId="1037E640">
      <w:pPr>
        <w:spacing w:line="360" w:lineRule="auto"/>
        <w:outlineLvl w:val="2"/>
        <w:rPr>
          <w:color w:val="000000" w:themeColor="text1"/>
          <w:sz w:val="24"/>
          <w:szCs w:val="20"/>
          <w:highlight w:val="none"/>
          <w14:textFill>
            <w14:solidFill>
              <w14:schemeClr w14:val="tx1"/>
            </w14:solidFill>
          </w14:textFill>
        </w:rPr>
      </w:pPr>
    </w:p>
    <w:p w14:paraId="03C68F60">
      <w:pPr>
        <w:spacing w:line="360" w:lineRule="auto"/>
        <w:outlineLvl w:val="2"/>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1</w:t>
      </w:r>
      <w:r>
        <w:rPr>
          <w:rFonts w:hint="eastAsia"/>
          <w:color w:val="000000" w:themeColor="text1"/>
          <w:sz w:val="24"/>
          <w:szCs w:val="20"/>
          <w:highlight w:val="none"/>
          <w:lang w:val="en-US" w:eastAsia="zh-CN"/>
          <w14:textFill>
            <w14:solidFill>
              <w14:schemeClr w14:val="tx1"/>
            </w14:solidFill>
          </w14:textFill>
        </w:rPr>
        <w:t>1</w:t>
      </w:r>
      <w:r>
        <w:rPr>
          <w:color w:val="000000" w:themeColor="text1"/>
          <w:sz w:val="24"/>
          <w:szCs w:val="20"/>
          <w:highlight w:val="none"/>
          <w14:textFill>
            <w14:solidFill>
              <w14:schemeClr w14:val="tx1"/>
            </w14:solidFill>
          </w14:textFill>
        </w:rPr>
        <w:t xml:space="preserve">  磋商文件要求提供或供应商认为应附的其他材料</w:t>
      </w:r>
    </w:p>
    <w:bookmarkEnd w:id="797"/>
    <w:sectPr>
      <w:pgSz w:w="11907" w:h="16840"/>
      <w:pgMar w:top="1417" w:right="1134" w:bottom="1417" w:left="1134"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ˎ̥">
    <w:altName w:val="DejaVu Math TeX Gyre"/>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10006FF" w:usb1="4000205B" w:usb2="00000010" w:usb3="00000000" w:csb0="2000019F" w:csb1="00000000"/>
  </w:font>
  <w:font w:name="Century Gothic">
    <w:panose1 w:val="020B0502020202020204"/>
    <w:charset w:val="00"/>
    <w:family w:val="auto"/>
    <w:pitch w:val="default"/>
    <w:sig w:usb0="00000287" w:usb1="00000000" w:usb2="00000000" w:usb3="00000000" w:csb0="2000009F" w:csb1="DFD70000"/>
  </w:font>
  <w:font w:name="Arial Unicode MS">
    <w:panose1 w:val="020B0604020202020204"/>
    <w:charset w:val="86"/>
    <w:family w:val="auto"/>
    <w:pitch w:val="default"/>
    <w:sig w:usb0="FFFFFFFF" w:usb1="E9FFFFFF" w:usb2="0000003F" w:usb3="00000000" w:csb0="603F01FF" w:csb1="FFFF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SI黑体-GB2312">
    <w:altName w:val="黑体"/>
    <w:panose1 w:val="020B0503020202020204"/>
    <w:charset w:val="00"/>
    <w:family w:val="auto"/>
    <w:pitch w:val="default"/>
    <w:sig w:usb0="00000000" w:usb1="00000000" w:usb2="00000000" w:usb3="00000000" w:csb0="00000000" w:csb1="00000000"/>
  </w:font>
  <w:font w:name="Segoe UI Symbol">
    <w:panose1 w:val="020B0502040204020203"/>
    <w:charset w:val="00"/>
    <w:family w:val="auto"/>
    <w:pitch w:val="default"/>
    <w:sig w:usb0="8000006F" w:usb1="1200FBEF" w:usb2="0064C000" w:usb3="00000002" w:csb0="00000001" w:csb1="40000000"/>
  </w:font>
  <w:font w:name="方正仿宋_GB2312">
    <w:altName w:val="仿宋"/>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226FC6">
    <w:pPr>
      <w:pStyle w:val="18"/>
      <w:tabs>
        <w:tab w:val="center" w:pos="4153"/>
        <w:tab w:val="right" w:pos="8306"/>
        <w:tab w:val="clear" w:pos="7143"/>
        <w:tab w:val="clear" w:pos="14287"/>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B43F40">
    <w:pPr>
      <w:pStyle w:val="232"/>
      <w:jc w:val="center"/>
      <w:rPr>
        <w:rFonts w:asci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EE507">
    <w:pPr>
      <w:pStyle w:val="232"/>
      <w:framePr w:wrap="around" w:vAnchor="text" w:hAnchor="margin" w:xAlign="center" w:y="1"/>
      <w:rPr>
        <w:rStyle w:val="257"/>
      </w:rPr>
    </w:pPr>
    <w:r>
      <w:fldChar w:fldCharType="begin"/>
    </w:r>
    <w:r>
      <w:rPr>
        <w:rStyle w:val="257"/>
      </w:rPr>
      <w:instrText xml:space="preserve">PAGE  </w:instrText>
    </w:r>
    <w:r>
      <w:fldChar w:fldCharType="end"/>
    </w:r>
  </w:p>
  <w:p w14:paraId="47A32D69">
    <w:pPr>
      <w:pStyle w:val="232"/>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8886B6">
    <w:pPr>
      <w:pStyle w:val="232"/>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7D76A4">
    <w:pPr>
      <w:pStyle w:val="232"/>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31</w:t>
    </w:r>
    <w:r>
      <w:rPr>
        <w:rFonts w:ascii="Times New Roma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4AC4B5">
    <w:pPr>
      <w:pStyle w:val="232"/>
      <w:jc w:val="center"/>
    </w:pPr>
    <w:r>
      <w:fldChar w:fldCharType="begin"/>
    </w:r>
    <w:r>
      <w:instrText xml:space="preserve">PAGE   \* MERGEFORMAT</w:instrText>
    </w:r>
    <w:r>
      <w:fldChar w:fldCharType="separate"/>
    </w:r>
    <w:r>
      <w:rPr>
        <w:lang w:val="zh-CN"/>
      </w:rPr>
      <w:t>1</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9917E">
    <w:pPr>
      <w:pStyle w:val="232"/>
      <w:framePr w:wrap="around" w:vAnchor="text" w:hAnchor="margin" w:xAlign="right" w:y="1"/>
      <w:rPr>
        <w:rStyle w:val="257"/>
      </w:rPr>
    </w:pPr>
    <w:r>
      <w:fldChar w:fldCharType="begin"/>
    </w:r>
    <w:r>
      <w:rPr>
        <w:rStyle w:val="257"/>
      </w:rPr>
      <w:instrText xml:space="preserve">PAGE  </w:instrText>
    </w:r>
    <w:r>
      <w:fldChar w:fldCharType="end"/>
    </w:r>
  </w:p>
  <w:p w14:paraId="612067D7">
    <w:pPr>
      <w:pStyle w:val="232"/>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E68CF">
    <w:pPr>
      <w:pStyle w:val="232"/>
      <w:rPr>
        <w:rFonts w:ascii="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7CE7F30">
                          <w:pPr>
                            <w:pStyle w:val="232"/>
                            <w:tabs>
                              <w:tab w:val="clear" w:pos="4153"/>
                              <w:tab w:val="clear" w:pos="8306"/>
                            </w:tabs>
                          </w:pPr>
                          <w:r>
                            <w:fldChar w:fldCharType="begin"/>
                          </w:r>
                          <w:r>
                            <w:instrText xml:space="preserve"> PAGE  \* MERGEFORMAT </w:instrText>
                          </w:r>
                          <w:r>
                            <w:fldChar w:fldCharType="separate"/>
                          </w:r>
                          <w:r>
                            <w:t>15</w:t>
                          </w:r>
                          <w:r>
                            <w:fldChar w:fldCharType="end"/>
                          </w:r>
                        </w:p>
                        <w:p w14:paraId="46E9ABB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47CE7F30">
                    <w:pPr>
                      <w:pStyle w:val="232"/>
                      <w:tabs>
                        <w:tab w:val="clear" w:pos="4153"/>
                        <w:tab w:val="clear" w:pos="8306"/>
                      </w:tabs>
                    </w:pPr>
                    <w:r>
                      <w:fldChar w:fldCharType="begin"/>
                    </w:r>
                    <w:r>
                      <w:instrText xml:space="preserve"> PAGE  \* MERGEFORMAT </w:instrText>
                    </w:r>
                    <w:r>
                      <w:fldChar w:fldCharType="separate"/>
                    </w:r>
                    <w:r>
                      <w:t>15</w:t>
                    </w:r>
                    <w:r>
                      <w:fldChar w:fldCharType="end"/>
                    </w:r>
                  </w:p>
                  <w:p w14:paraId="46E9ABBC"/>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316EF">
    <w:pPr>
      <w:pStyle w:val="19"/>
      <w:tabs>
        <w:tab w:val="center" w:pos="4153"/>
        <w:tab w:val="right" w:pos="8306"/>
        <w:tab w:val="clear" w:pos="7143"/>
        <w:tab w:val="clear" w:pos="14287"/>
      </w:tabs>
      <w:jc w:val="right"/>
    </w:pPr>
    <w:r>
      <w:rPr>
        <w:rFonts w:hint="eastAsia"/>
      </w:rPr>
      <w:t>常州市政府采购项目竞争性磋商文件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EF45E">
    <w:pPr>
      <w:pStyle w:val="234"/>
      <w:jc w:val="right"/>
    </w:pPr>
    <w:r>
      <w:rPr>
        <w:rFonts w:hint="eastAsia"/>
      </w:rPr>
      <w:t xml:space="preserve">常州市政府采购项目竞争性磋商文件示范文本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A41CBE">
    <w:pPr>
      <w:pStyle w:val="234"/>
      <w:pBdr>
        <w:bottom w:val="none" w:color="000000"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
    <w:nsid w:val="B5E306ED"/>
    <w:multiLevelType w:val="multilevel"/>
    <w:tmpl w:val="B5E306ED"/>
    <w:lvl w:ilvl="0" w:tentative="0">
      <w:start w:val="1"/>
      <w:numFmt w:val="decimal"/>
      <w:lvlText w:val="%1．"/>
      <w:lvlJc w:val="left"/>
      <w:pPr>
        <w:tabs>
          <w:tab w:val="left" w:pos="768"/>
        </w:tabs>
        <w:ind w:left="768" w:hanging="360"/>
      </w:pPr>
      <w:rPr>
        <w:rFonts w:hint="eastAsia"/>
      </w:rPr>
    </w:lvl>
    <w:lvl w:ilvl="1" w:tentative="0">
      <w:start w:val="1"/>
      <w:numFmt w:val="decimal"/>
      <w:pStyle w:val="387"/>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2">
    <w:nsid w:val="BF205925"/>
    <w:multiLevelType w:val="multilevel"/>
    <w:tmpl w:val="BF205925"/>
    <w:lvl w:ilvl="0" w:tentative="0">
      <w:start w:val="1"/>
      <w:numFmt w:val="decimal"/>
      <w:pStyle w:val="372"/>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8879AEF"/>
    <w:multiLevelType w:val="multilevel"/>
    <w:tmpl w:val="C8879AEF"/>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lowerLetter"/>
      <w:pStyle w:val="351"/>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00000010"/>
    <w:multiLevelType w:val="multilevel"/>
    <w:tmpl w:val="00000010"/>
    <w:lvl w:ilvl="0" w:tentative="0">
      <w:start w:val="1"/>
      <w:numFmt w:val="bullet"/>
      <w:lvlText w:val=""/>
      <w:lvlJc w:val="left"/>
      <w:pPr>
        <w:tabs>
          <w:tab w:val="left" w:pos="980"/>
        </w:tabs>
        <w:ind w:left="980" w:hanging="420"/>
      </w:pPr>
      <w:rPr>
        <w:rFonts w:hint="default" w:ascii="Wingdings" w:hAnsi="Wingdings"/>
      </w:rPr>
    </w:lvl>
    <w:lvl w:ilvl="1" w:tentative="0">
      <w:start w:val="1"/>
      <w:numFmt w:val="bullet"/>
      <w:lvlText w:val=""/>
      <w:lvlJc w:val="left"/>
      <w:pPr>
        <w:tabs>
          <w:tab w:val="left" w:pos="1400"/>
        </w:tabs>
        <w:ind w:left="1400" w:hanging="420"/>
      </w:pPr>
      <w:rPr>
        <w:rFonts w:hint="default" w:ascii="Wingdings" w:hAnsi="Wingdings"/>
      </w:rPr>
    </w:lvl>
    <w:lvl w:ilvl="2" w:tentative="0">
      <w:start w:val="1"/>
      <w:numFmt w:val="bullet"/>
      <w:lvlText w:val=""/>
      <w:lvlJc w:val="left"/>
      <w:pPr>
        <w:tabs>
          <w:tab w:val="left" w:pos="1820"/>
        </w:tabs>
        <w:ind w:left="1820" w:hanging="420"/>
      </w:pPr>
      <w:rPr>
        <w:rFonts w:hint="default" w:ascii="Wingdings" w:hAnsi="Wingdings"/>
      </w:rPr>
    </w:lvl>
    <w:lvl w:ilvl="3" w:tentative="0">
      <w:start w:val="1"/>
      <w:numFmt w:val="bullet"/>
      <w:lvlText w:val=""/>
      <w:lvlJc w:val="left"/>
      <w:pPr>
        <w:tabs>
          <w:tab w:val="left" w:pos="2240"/>
        </w:tabs>
        <w:ind w:left="2240" w:hanging="420"/>
      </w:pPr>
      <w:rPr>
        <w:rFonts w:hint="default" w:ascii="Wingdings" w:hAnsi="Wingdings"/>
      </w:rPr>
    </w:lvl>
    <w:lvl w:ilvl="4" w:tentative="0">
      <w:start w:val="1"/>
      <w:numFmt w:val="bullet"/>
      <w:lvlText w:val=""/>
      <w:lvlJc w:val="left"/>
      <w:pPr>
        <w:tabs>
          <w:tab w:val="left" w:pos="2660"/>
        </w:tabs>
        <w:ind w:left="2660" w:hanging="420"/>
      </w:pPr>
      <w:rPr>
        <w:rFonts w:hint="default" w:ascii="Wingdings" w:hAnsi="Wingdings"/>
      </w:rPr>
    </w:lvl>
    <w:lvl w:ilvl="5" w:tentative="0">
      <w:start w:val="1"/>
      <w:numFmt w:val="bullet"/>
      <w:lvlText w:val=""/>
      <w:lvlJc w:val="left"/>
      <w:pPr>
        <w:tabs>
          <w:tab w:val="left" w:pos="3080"/>
        </w:tabs>
        <w:ind w:left="3080" w:hanging="420"/>
      </w:pPr>
      <w:rPr>
        <w:rFonts w:hint="default" w:ascii="Wingdings" w:hAnsi="Wingdings"/>
      </w:rPr>
    </w:lvl>
    <w:lvl w:ilvl="6" w:tentative="0">
      <w:start w:val="1"/>
      <w:numFmt w:val="bullet"/>
      <w:lvlText w:val=""/>
      <w:lvlJc w:val="left"/>
      <w:pPr>
        <w:tabs>
          <w:tab w:val="left" w:pos="3500"/>
        </w:tabs>
        <w:ind w:left="3500" w:hanging="420"/>
      </w:pPr>
      <w:rPr>
        <w:rFonts w:hint="default" w:ascii="Wingdings" w:hAnsi="Wingdings"/>
      </w:rPr>
    </w:lvl>
    <w:lvl w:ilvl="7" w:tentative="0">
      <w:start w:val="1"/>
      <w:numFmt w:val="bullet"/>
      <w:lvlText w:val=""/>
      <w:lvlJc w:val="left"/>
      <w:pPr>
        <w:tabs>
          <w:tab w:val="left" w:pos="3920"/>
        </w:tabs>
        <w:ind w:left="3920" w:hanging="420"/>
      </w:pPr>
      <w:rPr>
        <w:rFonts w:hint="default" w:ascii="Wingdings" w:hAnsi="Wingdings"/>
      </w:rPr>
    </w:lvl>
    <w:lvl w:ilvl="8" w:tentative="0">
      <w:start w:val="1"/>
      <w:numFmt w:val="bullet"/>
      <w:lvlText w:val=""/>
      <w:lvlJc w:val="left"/>
      <w:pPr>
        <w:tabs>
          <w:tab w:val="left" w:pos="4340"/>
        </w:tabs>
        <w:ind w:left="4340" w:hanging="420"/>
      </w:pPr>
      <w:rPr>
        <w:rFonts w:hint="default" w:ascii="Wingdings" w:hAnsi="Wingdings"/>
      </w:rPr>
    </w:lvl>
  </w:abstractNum>
  <w:abstractNum w:abstractNumId="6">
    <w:nsid w:val="0053208E"/>
    <w:multiLevelType w:val="multilevel"/>
    <w:tmpl w:val="0053208E"/>
    <w:lvl w:ilvl="0" w:tentative="0">
      <w:start w:val="1"/>
      <w:numFmt w:val="decimal"/>
      <w:pStyle w:val="342"/>
      <w:lvlText w:val="%1"/>
      <w:lvlJc w:val="left"/>
      <w:pPr>
        <w:ind w:left="680" w:hanging="680"/>
      </w:pPr>
      <w:rPr>
        <w:rFonts w:hint="eastAsia" w:ascii="宋体" w:hAnsi="宋体" w:eastAsia="宋体"/>
      </w:rPr>
    </w:lvl>
    <w:lvl w:ilvl="1" w:tentative="0">
      <w:start w:val="1"/>
      <w:numFmt w:val="decimal"/>
      <w:pStyle w:val="341"/>
      <w:lvlText w:val="%1.%2"/>
      <w:lvlJc w:val="left"/>
      <w:pPr>
        <w:ind w:left="851" w:hanging="851"/>
      </w:pPr>
      <w:rPr>
        <w:rFonts w:hint="eastAsia" w:ascii="宋体" w:hAnsi="宋体" w:eastAsia="宋体"/>
        <w:color w:val="000000"/>
      </w:rPr>
    </w:lvl>
    <w:lvl w:ilvl="2" w:tentative="0">
      <w:start w:val="1"/>
      <w:numFmt w:val="decimal"/>
      <w:pStyle w:val="340"/>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7">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3D62ECE"/>
    <w:multiLevelType w:val="multilevel"/>
    <w:tmpl w:val="03D62ECE"/>
    <w:lvl w:ilvl="0" w:tentative="0">
      <w:start w:val="1"/>
      <w:numFmt w:val="decimal"/>
      <w:pStyle w:val="423"/>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63965E1"/>
    <w:multiLevelType w:val="singleLevel"/>
    <w:tmpl w:val="063965E1"/>
    <w:lvl w:ilvl="0" w:tentative="0">
      <w:start w:val="1"/>
      <w:numFmt w:val="decimal"/>
      <w:suff w:val="nothing"/>
      <w:lvlText w:val="（%1）"/>
      <w:lvlJc w:val="left"/>
    </w:lvl>
  </w:abstractNum>
  <w:abstractNum w:abstractNumId="10">
    <w:nsid w:val="25B654F3"/>
    <w:multiLevelType w:val="multilevel"/>
    <w:tmpl w:val="25B654F3"/>
    <w:lvl w:ilvl="0" w:tentative="0">
      <w:start w:val="1"/>
      <w:numFmt w:val="decimal"/>
      <w:pStyle w:val="424"/>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2A8F537B"/>
    <w:multiLevelType w:val="multilevel"/>
    <w:tmpl w:val="2A8F537B"/>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2">
    <w:nsid w:val="564D906D"/>
    <w:multiLevelType w:val="singleLevel"/>
    <w:tmpl w:val="564D906D"/>
    <w:lvl w:ilvl="0" w:tentative="0">
      <w:start w:val="1"/>
      <w:numFmt w:val="decimal"/>
      <w:suff w:val="nothing"/>
      <w:lvlText w:val="%1、"/>
      <w:lvlJc w:val="left"/>
    </w:lvl>
  </w:abstractNum>
  <w:abstractNum w:abstractNumId="13">
    <w:nsid w:val="59ADCABA"/>
    <w:multiLevelType w:val="multilevel"/>
    <w:tmpl w:val="59ADCABA"/>
    <w:lvl w:ilvl="0" w:tentative="0">
      <w:start w:val="1"/>
      <w:numFmt w:val="decimal"/>
      <w:pStyle w:val="383"/>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382"/>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80"/>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79"/>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78"/>
      <w:suff w:val="nothing"/>
      <w:lvlText w:val="%1.%2.%3.%4.%5.%6　"/>
      <w:lvlJc w:val="left"/>
      <w:pPr>
        <w:ind w:left="-25" w:firstLine="0"/>
      </w:pPr>
      <w:rPr>
        <w:rFonts w:ascii="Times New Roman" w:hAnsi="Times New Roman" w:eastAsia="宋体"/>
        <w:b/>
        <w:i w:val="0"/>
        <w:sz w:val="28"/>
      </w:rPr>
    </w:lvl>
    <w:lvl w:ilvl="6" w:tentative="0">
      <w:start w:val="1"/>
      <w:numFmt w:val="lowerLetter"/>
      <w:pStyle w:val="369"/>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408"/>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14">
    <w:nsid w:val="5A241D34"/>
    <w:multiLevelType w:val="multilevel"/>
    <w:tmpl w:val="5A241D34"/>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5C6CD4F9"/>
    <w:multiLevelType w:val="singleLevel"/>
    <w:tmpl w:val="5C6CD4F9"/>
    <w:lvl w:ilvl="0" w:tentative="0">
      <w:start w:val="1"/>
      <w:numFmt w:val="decimal"/>
      <w:suff w:val="nothing"/>
      <w:lvlText w:val="%1、"/>
      <w:lvlJc w:val="left"/>
    </w:lvl>
  </w:abstractNum>
  <w:abstractNum w:abstractNumId="16">
    <w:nsid w:val="72183CF9"/>
    <w:multiLevelType w:val="multilevel"/>
    <w:tmpl w:val="72183CF9"/>
    <w:lvl w:ilvl="0" w:tentative="0">
      <w:start w:val="6"/>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7">
    <w:nsid w:val="7F46AB6F"/>
    <w:multiLevelType w:val="singleLevel"/>
    <w:tmpl w:val="7F46AB6F"/>
    <w:lvl w:ilvl="0" w:tentative="0">
      <w:start w:val="1"/>
      <w:numFmt w:val="decimal"/>
      <w:suff w:val="nothing"/>
      <w:lvlText w:val="%1、"/>
      <w:lvlJc w:val="left"/>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6"/>
  </w:num>
  <w:num w:numId="9">
    <w:abstractNumId w:val="7"/>
  </w:num>
  <w:num w:numId="10">
    <w:abstractNumId w:val="0"/>
  </w:num>
  <w:num w:numId="11">
    <w:abstractNumId w:val="11"/>
  </w:num>
  <w:num w:numId="12">
    <w:abstractNumId w:val="14"/>
  </w:num>
  <w:num w:numId="13">
    <w:abstractNumId w:val="3"/>
  </w:num>
  <w:num w:numId="14">
    <w:abstractNumId w:val="15"/>
  </w:num>
  <w:num w:numId="15">
    <w:abstractNumId w:val="5"/>
  </w:num>
  <w:num w:numId="16">
    <w:abstractNumId w:val="17"/>
  </w:num>
  <w:num w:numId="17">
    <w:abstractNumId w:val="12"/>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D10642"/>
    <w:rsid w:val="01BA70E2"/>
    <w:rsid w:val="044D1A72"/>
    <w:rsid w:val="04806B11"/>
    <w:rsid w:val="07CB15E1"/>
    <w:rsid w:val="07D01B5E"/>
    <w:rsid w:val="08A16ACD"/>
    <w:rsid w:val="09D5345C"/>
    <w:rsid w:val="0A6767AA"/>
    <w:rsid w:val="0B1C3A38"/>
    <w:rsid w:val="0BBC48D3"/>
    <w:rsid w:val="0C0E75DF"/>
    <w:rsid w:val="0C394176"/>
    <w:rsid w:val="0DE85E53"/>
    <w:rsid w:val="0E5232CD"/>
    <w:rsid w:val="112A0531"/>
    <w:rsid w:val="11FF376C"/>
    <w:rsid w:val="125408D7"/>
    <w:rsid w:val="12C51548"/>
    <w:rsid w:val="133A1174"/>
    <w:rsid w:val="1379754E"/>
    <w:rsid w:val="13D6674E"/>
    <w:rsid w:val="14B368F2"/>
    <w:rsid w:val="17C36FE9"/>
    <w:rsid w:val="17CE7E68"/>
    <w:rsid w:val="18E9552D"/>
    <w:rsid w:val="19956E3C"/>
    <w:rsid w:val="19ED3963"/>
    <w:rsid w:val="1AE23FFC"/>
    <w:rsid w:val="1C673F2D"/>
    <w:rsid w:val="1C7407BE"/>
    <w:rsid w:val="1CC7757C"/>
    <w:rsid w:val="2003061B"/>
    <w:rsid w:val="2009229D"/>
    <w:rsid w:val="206155F1"/>
    <w:rsid w:val="20784E15"/>
    <w:rsid w:val="20801F1B"/>
    <w:rsid w:val="222334A6"/>
    <w:rsid w:val="22BC2B77"/>
    <w:rsid w:val="237B01F1"/>
    <w:rsid w:val="23977CA8"/>
    <w:rsid w:val="243F3E9B"/>
    <w:rsid w:val="253B603A"/>
    <w:rsid w:val="268F2F81"/>
    <w:rsid w:val="292F29C7"/>
    <w:rsid w:val="2B936FA7"/>
    <w:rsid w:val="2E9F5C62"/>
    <w:rsid w:val="2EDD678B"/>
    <w:rsid w:val="319F5F79"/>
    <w:rsid w:val="31F84007"/>
    <w:rsid w:val="330D42C9"/>
    <w:rsid w:val="374B6987"/>
    <w:rsid w:val="3D491BBB"/>
    <w:rsid w:val="3D7B4FDD"/>
    <w:rsid w:val="3E864749"/>
    <w:rsid w:val="3E9E5441"/>
    <w:rsid w:val="40195A39"/>
    <w:rsid w:val="40532D51"/>
    <w:rsid w:val="425261DA"/>
    <w:rsid w:val="427A45C5"/>
    <w:rsid w:val="42B45D29"/>
    <w:rsid w:val="43F11770"/>
    <w:rsid w:val="44A91191"/>
    <w:rsid w:val="45161CD0"/>
    <w:rsid w:val="452D591E"/>
    <w:rsid w:val="45794A8F"/>
    <w:rsid w:val="464A1740"/>
    <w:rsid w:val="4AD73C7C"/>
    <w:rsid w:val="4B7A3509"/>
    <w:rsid w:val="4E8948A3"/>
    <w:rsid w:val="4EDF20DE"/>
    <w:rsid w:val="50F6750C"/>
    <w:rsid w:val="52291B63"/>
    <w:rsid w:val="52427583"/>
    <w:rsid w:val="53C77F57"/>
    <w:rsid w:val="53FF4A72"/>
    <w:rsid w:val="545C3B2A"/>
    <w:rsid w:val="5588094F"/>
    <w:rsid w:val="56856D59"/>
    <w:rsid w:val="573967DC"/>
    <w:rsid w:val="57AC12E1"/>
    <w:rsid w:val="580C5867"/>
    <w:rsid w:val="58905785"/>
    <w:rsid w:val="59256D21"/>
    <w:rsid w:val="59D2663D"/>
    <w:rsid w:val="59F32BBB"/>
    <w:rsid w:val="5B3550D5"/>
    <w:rsid w:val="5B81656C"/>
    <w:rsid w:val="5C084598"/>
    <w:rsid w:val="5C4A6129"/>
    <w:rsid w:val="5F5C0E82"/>
    <w:rsid w:val="60936B26"/>
    <w:rsid w:val="62323312"/>
    <w:rsid w:val="62E418BB"/>
    <w:rsid w:val="63F35B2D"/>
    <w:rsid w:val="64A77044"/>
    <w:rsid w:val="64D23995"/>
    <w:rsid w:val="65B71508"/>
    <w:rsid w:val="662326FA"/>
    <w:rsid w:val="6B6D4417"/>
    <w:rsid w:val="6BF91F03"/>
    <w:rsid w:val="6C4C227F"/>
    <w:rsid w:val="6C705F6D"/>
    <w:rsid w:val="705160B5"/>
    <w:rsid w:val="70A42689"/>
    <w:rsid w:val="71F426C7"/>
    <w:rsid w:val="731B48D2"/>
    <w:rsid w:val="751853F4"/>
    <w:rsid w:val="76465F91"/>
    <w:rsid w:val="77521091"/>
    <w:rsid w:val="779B0C4B"/>
    <w:rsid w:val="785C1A9B"/>
    <w:rsid w:val="796E5F2A"/>
    <w:rsid w:val="7BC47178"/>
    <w:rsid w:val="7CB023B6"/>
    <w:rsid w:val="7CC85951"/>
    <w:rsid w:val="7FD16DD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468"/>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37"/>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8"/>
    <w:unhideWhenUsed/>
    <w:qFormat/>
    <w:uiPriority w:val="9"/>
    <w:pPr>
      <w:keepNext/>
      <w:keepLines/>
      <w:spacing w:before="360" w:after="200"/>
      <w:outlineLvl w:val="1"/>
    </w:pPr>
    <w:rPr>
      <w:rFonts w:ascii="Arial" w:hAnsi="Arial" w:eastAsia="Arial" w:cs="Arial"/>
      <w:sz w:val="34"/>
    </w:rPr>
  </w:style>
  <w:style w:type="paragraph" w:styleId="2">
    <w:name w:val="heading 3"/>
    <w:basedOn w:val="1"/>
    <w:next w:val="1"/>
    <w:link w:val="3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7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5"/>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qFormat/>
    <w:uiPriority w:val="0"/>
    <w:pPr>
      <w:widowControl w:val="0"/>
      <w:autoSpaceDE w:val="0"/>
      <w:autoSpaceDN w:val="0"/>
      <w:adjustRightInd w:val="0"/>
      <w:ind w:firstLine="420"/>
      <w:jc w:val="left"/>
    </w:pPr>
    <w:rPr>
      <w:rFonts w:ascii="宋体" w:hAnsi="Times New Roman" w:eastAsia="宋体" w:cs="Times New Roman"/>
      <w:kern w:val="2"/>
      <w:sz w:val="24"/>
      <w:szCs w:val="24"/>
      <w:lang w:val="en-US" w:eastAsia="zh-CN" w:bidi="ar-SA"/>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3"/>
    <w:semiHidden/>
    <w:unhideWhenUsed/>
    <w:qFormat/>
    <w:uiPriority w:val="99"/>
    <w:pPr>
      <w:spacing w:after="0" w:line="240" w:lineRule="auto"/>
    </w:pPr>
    <w:rPr>
      <w:sz w:val="20"/>
    </w:rPr>
  </w:style>
  <w:style w:type="paragraph" w:styleId="18">
    <w:name w:val="footer"/>
    <w:basedOn w:val="1"/>
    <w:link w:val="56"/>
    <w:unhideWhenUsed/>
    <w:qFormat/>
    <w:uiPriority w:val="99"/>
    <w:pPr>
      <w:tabs>
        <w:tab w:val="center" w:pos="7143"/>
        <w:tab w:val="right" w:pos="14287"/>
      </w:tabs>
      <w:spacing w:after="0" w:line="240" w:lineRule="auto"/>
    </w:pPr>
  </w:style>
  <w:style w:type="paragraph" w:styleId="19">
    <w:name w:val="header"/>
    <w:basedOn w:val="1"/>
    <w:link w:val="54"/>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9"/>
    <w:qFormat/>
    <w:uiPriority w:val="11"/>
    <w:pPr>
      <w:spacing w:before="200" w:after="200"/>
    </w:pPr>
    <w:rPr>
      <w:sz w:val="24"/>
      <w:szCs w:val="24"/>
    </w:rPr>
  </w:style>
  <w:style w:type="paragraph" w:styleId="23">
    <w:name w:val="footnote text"/>
    <w:basedOn w:val="1"/>
    <w:link w:val="182"/>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Normal (Web)"/>
    <w:basedOn w:val="1"/>
    <w:unhideWhenUsed/>
    <w:qFormat/>
    <w:uiPriority w:val="99"/>
    <w:pPr>
      <w:widowControl/>
      <w:spacing w:before="100" w:beforeAutospacing="1" w:after="100" w:afterAutospacing="1"/>
      <w:jc w:val="left"/>
    </w:pPr>
    <w:rPr>
      <w:rFonts w:ascii="宋体" w:hAnsi="宋体"/>
      <w:sz w:val="24"/>
    </w:rPr>
  </w:style>
  <w:style w:type="paragraph" w:styleId="29">
    <w:name w:val="Title"/>
    <w:basedOn w:val="1"/>
    <w:next w:val="1"/>
    <w:link w:val="48"/>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basedOn w:val="32"/>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paragraph" w:customStyle="1" w:styleId="36">
    <w:name w:val="正文文本1"/>
    <w:basedOn w:val="1"/>
    <w:link w:val="216"/>
    <w:qFormat/>
    <w:uiPriority w:val="0"/>
    <w:pPr>
      <w:tabs>
        <w:tab w:val="left" w:pos="567"/>
      </w:tabs>
      <w:spacing w:before="120" w:line="22" w:lineRule="atLeast"/>
    </w:pPr>
    <w:rPr>
      <w:rFonts w:ascii="宋体" w:hAnsi="宋体"/>
      <w:sz w:val="24"/>
    </w:rPr>
  </w:style>
  <w:style w:type="character" w:customStyle="1" w:styleId="37">
    <w:name w:val="Heading 1 Char"/>
    <w:link w:val="3"/>
    <w:qFormat/>
    <w:uiPriority w:val="9"/>
    <w:rPr>
      <w:rFonts w:ascii="Arial" w:hAnsi="Arial" w:eastAsia="Arial" w:cs="Arial"/>
      <w:sz w:val="40"/>
      <w:szCs w:val="40"/>
    </w:rPr>
  </w:style>
  <w:style w:type="character" w:customStyle="1" w:styleId="38">
    <w:name w:val="Heading 2 Char"/>
    <w:link w:val="4"/>
    <w:qFormat/>
    <w:uiPriority w:val="9"/>
    <w:rPr>
      <w:rFonts w:ascii="Arial" w:hAnsi="Arial" w:eastAsia="Arial" w:cs="Arial"/>
      <w:sz w:val="34"/>
    </w:rPr>
  </w:style>
  <w:style w:type="character" w:customStyle="1" w:styleId="39">
    <w:name w:val="Heading 3 Char"/>
    <w:link w:val="2"/>
    <w:qFormat/>
    <w:uiPriority w:val="9"/>
    <w:rPr>
      <w:rFonts w:ascii="Arial" w:hAnsi="Arial" w:eastAsia="Arial" w:cs="Arial"/>
      <w:sz w:val="30"/>
      <w:szCs w:val="30"/>
    </w:rPr>
  </w:style>
  <w:style w:type="character" w:customStyle="1" w:styleId="40">
    <w:name w:val="Heading 4 Char"/>
    <w:link w:val="5"/>
    <w:qFormat/>
    <w:uiPriority w:val="9"/>
    <w:rPr>
      <w:rFonts w:ascii="Arial" w:hAnsi="Arial" w:eastAsia="Arial" w:cs="Arial"/>
      <w:b/>
      <w:bCs/>
      <w:sz w:val="26"/>
      <w:szCs w:val="26"/>
    </w:rPr>
  </w:style>
  <w:style w:type="character" w:customStyle="1" w:styleId="41">
    <w:name w:val="Heading 5 Char"/>
    <w:link w:val="6"/>
    <w:qFormat/>
    <w:uiPriority w:val="9"/>
    <w:rPr>
      <w:rFonts w:ascii="Arial" w:hAnsi="Arial" w:eastAsia="Arial" w:cs="Arial"/>
      <w:b/>
      <w:bCs/>
      <w:sz w:val="24"/>
      <w:szCs w:val="24"/>
    </w:rPr>
  </w:style>
  <w:style w:type="character" w:customStyle="1" w:styleId="42">
    <w:name w:val="Heading 6 Char"/>
    <w:link w:val="7"/>
    <w:qFormat/>
    <w:uiPriority w:val="9"/>
    <w:rPr>
      <w:rFonts w:ascii="Arial" w:hAnsi="Arial" w:eastAsia="Arial" w:cs="Arial"/>
      <w:b/>
      <w:bCs/>
      <w:sz w:val="22"/>
      <w:szCs w:val="22"/>
    </w:rPr>
  </w:style>
  <w:style w:type="character" w:customStyle="1" w:styleId="43">
    <w:name w:val="Heading 7 Char"/>
    <w:link w:val="8"/>
    <w:qFormat/>
    <w:uiPriority w:val="9"/>
    <w:rPr>
      <w:rFonts w:ascii="Arial" w:hAnsi="Arial" w:eastAsia="Arial" w:cs="Arial"/>
      <w:b/>
      <w:bCs/>
      <w:i/>
      <w:iCs/>
      <w:sz w:val="22"/>
      <w:szCs w:val="22"/>
    </w:rPr>
  </w:style>
  <w:style w:type="character" w:customStyle="1" w:styleId="44">
    <w:name w:val="Heading 8 Char"/>
    <w:link w:val="9"/>
    <w:qFormat/>
    <w:uiPriority w:val="9"/>
    <w:rPr>
      <w:rFonts w:ascii="Arial" w:hAnsi="Arial" w:eastAsia="Arial" w:cs="Arial"/>
      <w:i/>
      <w:iCs/>
      <w:sz w:val="22"/>
      <w:szCs w:val="22"/>
    </w:rPr>
  </w:style>
  <w:style w:type="character" w:customStyle="1" w:styleId="45">
    <w:name w:val="Heading 9 Char"/>
    <w:link w:val="10"/>
    <w:qFormat/>
    <w:uiPriority w:val="9"/>
    <w:rPr>
      <w:rFonts w:ascii="Arial" w:hAnsi="Arial" w:eastAsia="Arial" w:cs="Arial"/>
      <w:i/>
      <w:iCs/>
      <w:sz w:val="21"/>
      <w:szCs w:val="21"/>
    </w:rPr>
  </w:style>
  <w:style w:type="paragraph" w:styleId="46">
    <w:name w:val="List Paragraph"/>
    <w:basedOn w:val="1"/>
    <w:qFormat/>
    <w:uiPriority w:val="34"/>
    <w:pPr>
      <w:ind w:left="720"/>
      <w:contextualSpacing/>
    </w:pPr>
  </w:style>
  <w:style w:type="paragraph" w:styleId="47">
    <w:name w:val="No Spacing"/>
    <w:qFormat/>
    <w:uiPriority w:val="1"/>
    <w:pPr>
      <w:spacing w:before="0" w:after="0" w:line="240" w:lineRule="auto"/>
    </w:pPr>
    <w:rPr>
      <w:rFonts w:hint="default" w:ascii="Times New Roman" w:hAnsi="Times New Roman" w:eastAsia="宋体" w:cs="Times New Roman"/>
    </w:rPr>
  </w:style>
  <w:style w:type="character" w:customStyle="1" w:styleId="48">
    <w:name w:val="Title Char"/>
    <w:link w:val="29"/>
    <w:qFormat/>
    <w:uiPriority w:val="10"/>
    <w:rPr>
      <w:sz w:val="48"/>
      <w:szCs w:val="48"/>
    </w:rPr>
  </w:style>
  <w:style w:type="character" w:customStyle="1" w:styleId="49">
    <w:name w:val="Subtitle Char"/>
    <w:link w:val="22"/>
    <w:qFormat/>
    <w:uiPriority w:val="11"/>
    <w:rPr>
      <w:sz w:val="24"/>
      <w:szCs w:val="24"/>
    </w:rPr>
  </w:style>
  <w:style w:type="paragraph" w:styleId="50">
    <w:name w:val="Quote"/>
    <w:basedOn w:val="1"/>
    <w:next w:val="1"/>
    <w:link w:val="51"/>
    <w:qFormat/>
    <w:uiPriority w:val="29"/>
    <w:pPr>
      <w:ind w:left="720" w:right="720"/>
    </w:pPr>
    <w:rPr>
      <w:i/>
    </w:rPr>
  </w:style>
  <w:style w:type="character" w:customStyle="1" w:styleId="51">
    <w:name w:val="Quote Char"/>
    <w:link w:val="50"/>
    <w:qFormat/>
    <w:uiPriority w:val="29"/>
    <w:rPr>
      <w:i/>
    </w:rPr>
  </w:style>
  <w:style w:type="paragraph" w:styleId="52">
    <w:name w:val="Intense Quote"/>
    <w:basedOn w:val="1"/>
    <w:next w:val="1"/>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3">
    <w:name w:val="Intense Quote Char"/>
    <w:link w:val="52"/>
    <w:qFormat/>
    <w:uiPriority w:val="30"/>
    <w:rPr>
      <w:i/>
    </w:rPr>
  </w:style>
  <w:style w:type="character" w:customStyle="1" w:styleId="54">
    <w:name w:val="Header Char"/>
    <w:link w:val="19"/>
    <w:qFormat/>
    <w:uiPriority w:val="99"/>
  </w:style>
  <w:style w:type="character" w:customStyle="1" w:styleId="55">
    <w:name w:val="Footer Char"/>
    <w:link w:val="18"/>
    <w:qFormat/>
    <w:uiPriority w:val="99"/>
  </w:style>
  <w:style w:type="character" w:customStyle="1" w:styleId="56">
    <w:name w:val="Caption Char"/>
    <w:link w:val="18"/>
    <w:qFormat/>
    <w:uiPriority w:val="99"/>
  </w:style>
  <w:style w:type="table" w:customStyle="1" w:styleId="5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3">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7">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9">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4">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5">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7">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1">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5">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6">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8">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9">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2">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2">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4">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5">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3">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2">
    <w:name w:val="Footnote Text Char"/>
    <w:link w:val="23"/>
    <w:qFormat/>
    <w:uiPriority w:val="99"/>
    <w:rPr>
      <w:sz w:val="18"/>
    </w:rPr>
  </w:style>
  <w:style w:type="character" w:customStyle="1" w:styleId="183">
    <w:name w:val="Endnote Text Char"/>
    <w:link w:val="17"/>
    <w:qFormat/>
    <w:uiPriority w:val="99"/>
    <w:rPr>
      <w:sz w:val="20"/>
    </w:rPr>
  </w:style>
  <w:style w:type="paragraph" w:customStyle="1" w:styleId="184">
    <w:name w:val="TOC Heading"/>
    <w:unhideWhenUsed/>
    <w:qFormat/>
    <w:uiPriority w:val="39"/>
    <w:rPr>
      <w:rFonts w:hint="default" w:ascii="Times New Roman" w:hAnsi="Times New Roman" w:eastAsia="宋体" w:cs="Times New Roman"/>
    </w:rPr>
  </w:style>
  <w:style w:type="paragraph" w:customStyle="1" w:styleId="185">
    <w:name w:val="标题 11"/>
    <w:basedOn w:val="1"/>
    <w:next w:val="1"/>
    <w:link w:val="197"/>
    <w:qFormat/>
    <w:uiPriority w:val="0"/>
    <w:pPr>
      <w:keepNext/>
      <w:keepLines/>
      <w:spacing w:before="240" w:after="120" w:line="300" w:lineRule="auto"/>
      <w:jc w:val="center"/>
      <w:outlineLvl w:val="0"/>
    </w:pPr>
    <w:rPr>
      <w:rFonts w:ascii="宋体"/>
      <w:b/>
      <w:sz w:val="32"/>
      <w:szCs w:val="20"/>
    </w:rPr>
  </w:style>
  <w:style w:type="paragraph" w:customStyle="1" w:styleId="186">
    <w:name w:val="标题 21"/>
    <w:basedOn w:val="1"/>
    <w:next w:val="187"/>
    <w:link w:val="198"/>
    <w:qFormat/>
    <w:uiPriority w:val="0"/>
    <w:pPr>
      <w:keepNext/>
      <w:keepLines/>
      <w:spacing w:before="120" w:line="300" w:lineRule="auto"/>
      <w:jc w:val="center"/>
      <w:outlineLvl w:val="1"/>
    </w:pPr>
    <w:rPr>
      <w:rFonts w:ascii="Arial" w:hAnsi="Arial" w:eastAsia="黑体"/>
      <w:b/>
      <w:sz w:val="30"/>
      <w:szCs w:val="20"/>
    </w:rPr>
  </w:style>
  <w:style w:type="paragraph" w:customStyle="1" w:styleId="187">
    <w:name w:val="正文缩进11"/>
    <w:basedOn w:val="1"/>
    <w:link w:val="199"/>
    <w:qFormat/>
    <w:uiPriority w:val="0"/>
    <w:pPr>
      <w:ind w:firstLine="420"/>
      <w:jc w:val="left"/>
    </w:pPr>
    <w:rPr>
      <w:rFonts w:ascii="宋体"/>
      <w:sz w:val="24"/>
    </w:rPr>
  </w:style>
  <w:style w:type="paragraph" w:customStyle="1" w:styleId="188">
    <w:name w:val="标题 311"/>
    <w:basedOn w:val="1"/>
    <w:next w:val="1"/>
    <w:link w:val="200"/>
    <w:qFormat/>
    <w:uiPriority w:val="0"/>
    <w:pPr>
      <w:keepNext/>
      <w:keepLines/>
      <w:spacing w:before="360" w:after="120"/>
      <w:jc w:val="left"/>
      <w:outlineLvl w:val="2"/>
    </w:pPr>
    <w:rPr>
      <w:rFonts w:ascii="宋体"/>
      <w:b/>
      <w:sz w:val="24"/>
      <w:szCs w:val="20"/>
      <w:u w:val="single"/>
    </w:rPr>
  </w:style>
  <w:style w:type="paragraph" w:customStyle="1" w:styleId="189">
    <w:name w:val="标题 41"/>
    <w:basedOn w:val="1"/>
    <w:next w:val="1"/>
    <w:link w:val="201"/>
    <w:qFormat/>
    <w:uiPriority w:val="0"/>
    <w:pPr>
      <w:keepNext/>
      <w:keepLines/>
      <w:spacing w:before="280" w:after="290" w:line="376" w:lineRule="atLeast"/>
      <w:outlineLvl w:val="3"/>
    </w:pPr>
    <w:rPr>
      <w:rFonts w:ascii="Arial" w:hAnsi="Arial" w:eastAsia="黑体"/>
      <w:b/>
      <w:sz w:val="28"/>
      <w:szCs w:val="20"/>
    </w:rPr>
  </w:style>
  <w:style w:type="paragraph" w:customStyle="1" w:styleId="190">
    <w:name w:val="标题 51"/>
    <w:basedOn w:val="1"/>
    <w:next w:val="1"/>
    <w:link w:val="202"/>
    <w:qFormat/>
    <w:uiPriority w:val="0"/>
    <w:pPr>
      <w:keepNext/>
      <w:keepLines/>
      <w:spacing w:before="280" w:after="290" w:line="376" w:lineRule="atLeast"/>
      <w:outlineLvl w:val="4"/>
    </w:pPr>
    <w:rPr>
      <w:b/>
      <w:sz w:val="28"/>
      <w:szCs w:val="20"/>
    </w:rPr>
  </w:style>
  <w:style w:type="paragraph" w:customStyle="1" w:styleId="191">
    <w:name w:val="标题 61"/>
    <w:basedOn w:val="1"/>
    <w:next w:val="1"/>
    <w:link w:val="203"/>
    <w:qFormat/>
    <w:uiPriority w:val="0"/>
    <w:pPr>
      <w:keepNext/>
      <w:keepLines/>
      <w:spacing w:before="240" w:after="64" w:line="320" w:lineRule="atLeast"/>
      <w:outlineLvl w:val="5"/>
    </w:pPr>
    <w:rPr>
      <w:rFonts w:ascii="Arial" w:hAnsi="Arial" w:eastAsia="黑体"/>
      <w:b/>
      <w:sz w:val="24"/>
      <w:szCs w:val="20"/>
    </w:rPr>
  </w:style>
  <w:style w:type="paragraph" w:customStyle="1" w:styleId="192">
    <w:name w:val="标题 71"/>
    <w:basedOn w:val="1"/>
    <w:next w:val="1"/>
    <w:link w:val="204"/>
    <w:qFormat/>
    <w:uiPriority w:val="0"/>
    <w:pPr>
      <w:keepNext/>
      <w:keepLines/>
      <w:spacing w:before="240" w:after="64" w:line="320" w:lineRule="atLeast"/>
      <w:outlineLvl w:val="6"/>
    </w:pPr>
    <w:rPr>
      <w:b/>
      <w:sz w:val="24"/>
      <w:szCs w:val="20"/>
    </w:rPr>
  </w:style>
  <w:style w:type="paragraph" w:customStyle="1" w:styleId="193">
    <w:name w:val="标题 81"/>
    <w:basedOn w:val="1"/>
    <w:next w:val="1"/>
    <w:link w:val="205"/>
    <w:qFormat/>
    <w:uiPriority w:val="0"/>
    <w:pPr>
      <w:keepNext/>
      <w:keepLines/>
      <w:spacing w:before="240" w:after="64" w:line="320" w:lineRule="atLeast"/>
      <w:outlineLvl w:val="7"/>
    </w:pPr>
    <w:rPr>
      <w:rFonts w:ascii="Arial" w:hAnsi="Arial" w:eastAsia="黑体"/>
      <w:sz w:val="24"/>
      <w:szCs w:val="20"/>
    </w:rPr>
  </w:style>
  <w:style w:type="paragraph" w:customStyle="1" w:styleId="194">
    <w:name w:val="标题 91"/>
    <w:basedOn w:val="1"/>
    <w:next w:val="1"/>
    <w:link w:val="206"/>
    <w:qFormat/>
    <w:uiPriority w:val="0"/>
    <w:pPr>
      <w:keepNext/>
      <w:keepLines/>
      <w:spacing w:before="240" w:after="64" w:line="320" w:lineRule="atLeast"/>
      <w:outlineLvl w:val="8"/>
    </w:pPr>
    <w:rPr>
      <w:rFonts w:ascii="Arial" w:hAnsi="Arial" w:eastAsia="黑体"/>
      <w:szCs w:val="20"/>
    </w:rPr>
  </w:style>
  <w:style w:type="character" w:customStyle="1" w:styleId="195">
    <w:name w:val="默认段落字体1"/>
    <w:link w:val="1"/>
    <w:unhideWhenUsed/>
    <w:qFormat/>
    <w:uiPriority w:val="1"/>
  </w:style>
  <w:style w:type="table" w:customStyle="1" w:styleId="196">
    <w:name w:val="普通表格1"/>
    <w:unhideWhenUsed/>
    <w:qFormat/>
    <w:uiPriority w:val="99"/>
  </w:style>
  <w:style w:type="character" w:customStyle="1" w:styleId="197">
    <w:name w:val="标题 1 字符"/>
    <w:link w:val="185"/>
    <w:qFormat/>
    <w:uiPriority w:val="0"/>
    <w:rPr>
      <w:rFonts w:ascii="宋体"/>
      <w:b/>
      <w:sz w:val="32"/>
    </w:rPr>
  </w:style>
  <w:style w:type="character" w:customStyle="1" w:styleId="198">
    <w:name w:val="标题 2 字符"/>
    <w:link w:val="186"/>
    <w:qFormat/>
    <w:uiPriority w:val="0"/>
    <w:rPr>
      <w:rFonts w:ascii="Arial" w:hAnsi="Arial" w:eastAsia="黑体"/>
      <w:b/>
      <w:sz w:val="30"/>
      <w:lang w:val="en-US" w:eastAsia="zh-CN" w:bidi="ar-SA"/>
    </w:rPr>
  </w:style>
  <w:style w:type="character" w:customStyle="1" w:styleId="199">
    <w:name w:val="正文缩进 字符"/>
    <w:link w:val="187"/>
    <w:qFormat/>
    <w:uiPriority w:val="0"/>
    <w:rPr>
      <w:rFonts w:ascii="宋体" w:eastAsia="宋体"/>
      <w:sz w:val="24"/>
      <w:szCs w:val="24"/>
      <w:lang w:val="en-US" w:eastAsia="zh-CN" w:bidi="ar-SA"/>
    </w:rPr>
  </w:style>
  <w:style w:type="character" w:customStyle="1" w:styleId="200">
    <w:name w:val="标题 3 字符"/>
    <w:link w:val="188"/>
    <w:qFormat/>
    <w:uiPriority w:val="0"/>
    <w:rPr>
      <w:rFonts w:ascii="宋体" w:eastAsia="宋体"/>
      <w:b/>
      <w:sz w:val="24"/>
      <w:u w:val="single"/>
      <w:lang w:val="en-US" w:eastAsia="zh-CN" w:bidi="ar-SA"/>
    </w:rPr>
  </w:style>
  <w:style w:type="character" w:customStyle="1" w:styleId="201">
    <w:name w:val="标题 4 字符"/>
    <w:link w:val="189"/>
    <w:qFormat/>
    <w:uiPriority w:val="0"/>
    <w:rPr>
      <w:rFonts w:ascii="Arial" w:hAnsi="Arial" w:eastAsia="黑体"/>
      <w:b/>
      <w:sz w:val="28"/>
    </w:rPr>
  </w:style>
  <w:style w:type="character" w:customStyle="1" w:styleId="202">
    <w:name w:val="标题 5 字符"/>
    <w:link w:val="190"/>
    <w:qFormat/>
    <w:uiPriority w:val="0"/>
    <w:rPr>
      <w:b/>
      <w:sz w:val="28"/>
    </w:rPr>
  </w:style>
  <w:style w:type="character" w:customStyle="1" w:styleId="203">
    <w:name w:val="标题 6 字符"/>
    <w:link w:val="191"/>
    <w:qFormat/>
    <w:uiPriority w:val="0"/>
    <w:rPr>
      <w:rFonts w:ascii="Arial" w:hAnsi="Arial" w:eastAsia="黑体"/>
      <w:b/>
      <w:sz w:val="24"/>
    </w:rPr>
  </w:style>
  <w:style w:type="character" w:customStyle="1" w:styleId="204">
    <w:name w:val="标题 7 字符"/>
    <w:link w:val="192"/>
    <w:qFormat/>
    <w:uiPriority w:val="0"/>
    <w:rPr>
      <w:b/>
      <w:sz w:val="24"/>
    </w:rPr>
  </w:style>
  <w:style w:type="character" w:customStyle="1" w:styleId="205">
    <w:name w:val="标题 8 字符"/>
    <w:link w:val="193"/>
    <w:qFormat/>
    <w:uiPriority w:val="0"/>
    <w:rPr>
      <w:rFonts w:ascii="Arial" w:hAnsi="Arial" w:eastAsia="黑体"/>
      <w:sz w:val="24"/>
    </w:rPr>
  </w:style>
  <w:style w:type="character" w:customStyle="1" w:styleId="206">
    <w:name w:val="标题 9 字符"/>
    <w:link w:val="194"/>
    <w:qFormat/>
    <w:uiPriority w:val="0"/>
    <w:rPr>
      <w:rFonts w:ascii="Arial" w:hAnsi="Arial" w:eastAsia="黑体"/>
      <w:sz w:val="21"/>
    </w:rPr>
  </w:style>
  <w:style w:type="paragraph" w:customStyle="1" w:styleId="207">
    <w:name w:val="目录 71"/>
    <w:basedOn w:val="1"/>
    <w:next w:val="1"/>
    <w:qFormat/>
    <w:uiPriority w:val="0"/>
    <w:pPr>
      <w:ind w:left="2520"/>
    </w:pPr>
  </w:style>
  <w:style w:type="paragraph" w:customStyle="1" w:styleId="208">
    <w:name w:val="引文目录1"/>
    <w:basedOn w:val="1"/>
    <w:next w:val="1"/>
    <w:qFormat/>
    <w:uiPriority w:val="99"/>
    <w:pPr>
      <w:ind w:left="420"/>
    </w:pPr>
  </w:style>
  <w:style w:type="paragraph" w:customStyle="1" w:styleId="209">
    <w:name w:val="题注1"/>
    <w:basedOn w:val="1"/>
    <w:next w:val="1"/>
    <w:qFormat/>
    <w:uiPriority w:val="0"/>
    <w:pPr>
      <w:spacing w:line="480" w:lineRule="auto"/>
    </w:pPr>
    <w:rPr>
      <w:rFonts w:ascii="华文中宋" w:hAnsi="华文中宋" w:eastAsia="华文中宋"/>
      <w:sz w:val="36"/>
      <w:szCs w:val="20"/>
    </w:rPr>
  </w:style>
  <w:style w:type="paragraph" w:customStyle="1" w:styleId="210">
    <w:name w:val="文档结构图1"/>
    <w:basedOn w:val="1"/>
    <w:link w:val="211"/>
    <w:qFormat/>
    <w:uiPriority w:val="0"/>
    <w:pPr>
      <w:shd w:val="clear" w:color="auto" w:fill="000080"/>
    </w:pPr>
  </w:style>
  <w:style w:type="character" w:customStyle="1" w:styleId="211">
    <w:name w:val="文档结构图 字符"/>
    <w:link w:val="210"/>
    <w:qFormat/>
    <w:uiPriority w:val="0"/>
    <w:rPr>
      <w:sz w:val="21"/>
      <w:szCs w:val="24"/>
      <w:shd w:val="clear" w:color="auto" w:fill="000080"/>
    </w:rPr>
  </w:style>
  <w:style w:type="paragraph" w:customStyle="1" w:styleId="212">
    <w:name w:val="批注文字1"/>
    <w:basedOn w:val="1"/>
    <w:link w:val="213"/>
    <w:qFormat/>
    <w:uiPriority w:val="99"/>
    <w:pPr>
      <w:jc w:val="left"/>
    </w:pPr>
  </w:style>
  <w:style w:type="character" w:customStyle="1" w:styleId="213">
    <w:name w:val="批注文字 字符1"/>
    <w:link w:val="212"/>
    <w:qFormat/>
    <w:uiPriority w:val="99"/>
    <w:rPr>
      <w:sz w:val="21"/>
      <w:szCs w:val="24"/>
    </w:rPr>
  </w:style>
  <w:style w:type="paragraph" w:customStyle="1" w:styleId="214">
    <w:name w:val="正文文本 31"/>
    <w:basedOn w:val="1"/>
    <w:link w:val="215"/>
    <w:qFormat/>
    <w:uiPriority w:val="0"/>
    <w:pPr>
      <w:spacing w:after="120"/>
    </w:pPr>
    <w:rPr>
      <w:sz w:val="16"/>
      <w:szCs w:val="16"/>
    </w:rPr>
  </w:style>
  <w:style w:type="character" w:customStyle="1" w:styleId="215">
    <w:name w:val="正文文本 3 字符"/>
    <w:link w:val="214"/>
    <w:qFormat/>
    <w:uiPriority w:val="0"/>
    <w:rPr>
      <w:sz w:val="16"/>
      <w:szCs w:val="16"/>
    </w:rPr>
  </w:style>
  <w:style w:type="character" w:customStyle="1" w:styleId="216">
    <w:name w:val="正文文本 字符"/>
    <w:link w:val="36"/>
    <w:qFormat/>
    <w:uiPriority w:val="0"/>
    <w:rPr>
      <w:rFonts w:ascii="宋体" w:hAnsi="宋体"/>
      <w:sz w:val="24"/>
      <w:szCs w:val="24"/>
    </w:rPr>
  </w:style>
  <w:style w:type="paragraph" w:customStyle="1" w:styleId="217">
    <w:name w:val="正文文本缩进111"/>
    <w:basedOn w:val="1"/>
    <w:link w:val="218"/>
    <w:qFormat/>
    <w:uiPriority w:val="0"/>
    <w:pPr>
      <w:spacing w:line="360" w:lineRule="auto"/>
      <w:ind w:firstLine="570"/>
    </w:pPr>
    <w:rPr>
      <w:sz w:val="24"/>
    </w:rPr>
  </w:style>
  <w:style w:type="character" w:customStyle="1" w:styleId="218">
    <w:name w:val="正文文本缩进 字符"/>
    <w:link w:val="217"/>
    <w:qFormat/>
    <w:uiPriority w:val="0"/>
    <w:rPr>
      <w:rFonts w:eastAsia="宋体"/>
      <w:sz w:val="24"/>
      <w:szCs w:val="24"/>
      <w:lang w:val="en-US" w:eastAsia="zh-CN" w:bidi="ar-SA"/>
    </w:rPr>
  </w:style>
  <w:style w:type="paragraph" w:customStyle="1" w:styleId="219">
    <w:name w:val="列表 21"/>
    <w:basedOn w:val="1"/>
    <w:qFormat/>
    <w:uiPriority w:val="0"/>
    <w:pPr>
      <w:ind w:left="100" w:hanging="200"/>
    </w:pPr>
  </w:style>
  <w:style w:type="paragraph" w:customStyle="1" w:styleId="220">
    <w:name w:val="文本块1"/>
    <w:basedOn w:val="1"/>
    <w:qFormat/>
    <w:uiPriority w:val="0"/>
    <w:pPr>
      <w:widowControl/>
      <w:ind w:left="480" w:right="-341" w:firstLine="513"/>
    </w:pPr>
    <w:rPr>
      <w:sz w:val="24"/>
      <w:szCs w:val="20"/>
    </w:rPr>
  </w:style>
  <w:style w:type="paragraph" w:customStyle="1" w:styleId="221">
    <w:name w:val="目录 51"/>
    <w:basedOn w:val="1"/>
    <w:next w:val="1"/>
    <w:qFormat/>
    <w:uiPriority w:val="0"/>
    <w:pPr>
      <w:ind w:left="1680"/>
    </w:pPr>
  </w:style>
  <w:style w:type="paragraph" w:customStyle="1" w:styleId="222">
    <w:name w:val="目录 31"/>
    <w:basedOn w:val="1"/>
    <w:next w:val="1"/>
    <w:qFormat/>
    <w:uiPriority w:val="39"/>
    <w:pPr>
      <w:ind w:left="840"/>
    </w:pPr>
  </w:style>
  <w:style w:type="paragraph" w:customStyle="1" w:styleId="223">
    <w:name w:val="纯文本1"/>
    <w:basedOn w:val="1"/>
    <w:link w:val="224"/>
    <w:qFormat/>
    <w:uiPriority w:val="0"/>
    <w:rPr>
      <w:rFonts w:hint="eastAsia" w:ascii="宋体" w:hAnsi="Courier New"/>
      <w:szCs w:val="20"/>
    </w:rPr>
  </w:style>
  <w:style w:type="character" w:customStyle="1" w:styleId="224">
    <w:name w:val="纯文本 字符2"/>
    <w:link w:val="223"/>
    <w:qFormat/>
    <w:uiPriority w:val="0"/>
    <w:rPr>
      <w:rFonts w:hint="eastAsia" w:ascii="宋体" w:hAnsi="Courier New" w:eastAsia="宋体" w:cs="宋体"/>
      <w:sz w:val="21"/>
    </w:rPr>
  </w:style>
  <w:style w:type="paragraph" w:customStyle="1" w:styleId="225">
    <w:name w:val="目录 81"/>
    <w:basedOn w:val="1"/>
    <w:next w:val="1"/>
    <w:qFormat/>
    <w:uiPriority w:val="0"/>
    <w:pPr>
      <w:ind w:left="2940"/>
    </w:pPr>
  </w:style>
  <w:style w:type="paragraph" w:customStyle="1" w:styleId="226">
    <w:name w:val="日期1"/>
    <w:basedOn w:val="1"/>
    <w:next w:val="1"/>
    <w:link w:val="227"/>
    <w:qFormat/>
    <w:uiPriority w:val="0"/>
    <w:pPr>
      <w:ind w:left="100"/>
    </w:pPr>
    <w:rPr>
      <w:rFonts w:ascii="仿宋_GB2312" w:hAnsi="宋体" w:eastAsia="仿宋_GB2312"/>
      <w:color w:val="000000"/>
      <w:sz w:val="24"/>
    </w:rPr>
  </w:style>
  <w:style w:type="character" w:customStyle="1" w:styleId="227">
    <w:name w:val="日期 字符"/>
    <w:link w:val="226"/>
    <w:qFormat/>
    <w:uiPriority w:val="0"/>
    <w:rPr>
      <w:rFonts w:ascii="仿宋_GB2312" w:hAnsi="宋体" w:eastAsia="仿宋_GB2312"/>
      <w:color w:val="000000"/>
      <w:sz w:val="24"/>
      <w:szCs w:val="24"/>
    </w:rPr>
  </w:style>
  <w:style w:type="paragraph" w:customStyle="1" w:styleId="228">
    <w:name w:val="正文文本缩进 21"/>
    <w:basedOn w:val="1"/>
    <w:link w:val="229"/>
    <w:qFormat/>
    <w:uiPriority w:val="0"/>
    <w:pPr>
      <w:ind w:firstLine="480"/>
    </w:pPr>
    <w:rPr>
      <w:rFonts w:ascii="仿宋_GB2312" w:eastAsia="仿宋_GB2312"/>
      <w:sz w:val="24"/>
    </w:rPr>
  </w:style>
  <w:style w:type="character" w:customStyle="1" w:styleId="229">
    <w:name w:val="正文文本缩进 2 字符"/>
    <w:link w:val="228"/>
    <w:qFormat/>
    <w:uiPriority w:val="0"/>
    <w:rPr>
      <w:rFonts w:ascii="仿宋_GB2312" w:eastAsia="仿宋_GB2312"/>
      <w:sz w:val="24"/>
      <w:szCs w:val="24"/>
    </w:rPr>
  </w:style>
  <w:style w:type="paragraph" w:customStyle="1" w:styleId="230">
    <w:name w:val="批注框文本1"/>
    <w:basedOn w:val="1"/>
    <w:link w:val="231"/>
    <w:qFormat/>
    <w:uiPriority w:val="0"/>
    <w:rPr>
      <w:sz w:val="18"/>
      <w:szCs w:val="18"/>
    </w:rPr>
  </w:style>
  <w:style w:type="character" w:customStyle="1" w:styleId="231">
    <w:name w:val="批注框文本 字符"/>
    <w:link w:val="230"/>
    <w:qFormat/>
    <w:uiPriority w:val="0"/>
    <w:rPr>
      <w:sz w:val="18"/>
      <w:szCs w:val="18"/>
    </w:rPr>
  </w:style>
  <w:style w:type="paragraph" w:customStyle="1" w:styleId="232">
    <w:name w:val="页脚1"/>
    <w:basedOn w:val="1"/>
    <w:link w:val="233"/>
    <w:qFormat/>
    <w:uiPriority w:val="99"/>
    <w:pPr>
      <w:tabs>
        <w:tab w:val="center" w:pos="4153"/>
        <w:tab w:val="right" w:pos="8306"/>
      </w:tabs>
      <w:jc w:val="left"/>
    </w:pPr>
    <w:rPr>
      <w:rFonts w:ascii="宋体"/>
      <w:sz w:val="18"/>
      <w:szCs w:val="20"/>
    </w:rPr>
  </w:style>
  <w:style w:type="character" w:customStyle="1" w:styleId="233">
    <w:name w:val="页脚 字符"/>
    <w:link w:val="232"/>
    <w:qFormat/>
    <w:uiPriority w:val="99"/>
    <w:rPr>
      <w:rFonts w:ascii="宋体" w:eastAsia="宋体"/>
      <w:sz w:val="18"/>
      <w:lang w:val="en-US" w:eastAsia="zh-CN" w:bidi="ar-SA"/>
    </w:rPr>
  </w:style>
  <w:style w:type="paragraph" w:customStyle="1" w:styleId="234">
    <w:name w:val="页眉1"/>
    <w:basedOn w:val="1"/>
    <w:link w:val="235"/>
    <w:qFormat/>
    <w:uiPriority w:val="0"/>
    <w:pPr>
      <w:pBdr>
        <w:bottom w:val="single" w:color="000000" w:sz="6" w:space="1"/>
      </w:pBdr>
      <w:tabs>
        <w:tab w:val="center" w:pos="4153"/>
        <w:tab w:val="right" w:pos="8306"/>
      </w:tabs>
      <w:jc w:val="center"/>
    </w:pPr>
    <w:rPr>
      <w:sz w:val="18"/>
      <w:szCs w:val="18"/>
    </w:rPr>
  </w:style>
  <w:style w:type="character" w:customStyle="1" w:styleId="235">
    <w:name w:val="页眉 字符"/>
    <w:link w:val="234"/>
    <w:qFormat/>
    <w:uiPriority w:val="0"/>
    <w:rPr>
      <w:rFonts w:eastAsia="宋体"/>
      <w:sz w:val="18"/>
      <w:szCs w:val="18"/>
      <w:lang w:val="en-US" w:eastAsia="zh-CN" w:bidi="ar-SA"/>
    </w:rPr>
  </w:style>
  <w:style w:type="paragraph" w:customStyle="1" w:styleId="236">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37">
    <w:name w:val="目录 41"/>
    <w:basedOn w:val="1"/>
    <w:next w:val="1"/>
    <w:qFormat/>
    <w:uiPriority w:val="0"/>
    <w:pPr>
      <w:ind w:left="1260"/>
    </w:pPr>
  </w:style>
  <w:style w:type="paragraph" w:customStyle="1" w:styleId="238">
    <w:name w:val="目录 61"/>
    <w:basedOn w:val="1"/>
    <w:next w:val="1"/>
    <w:qFormat/>
    <w:uiPriority w:val="0"/>
    <w:pPr>
      <w:ind w:left="2100"/>
    </w:pPr>
  </w:style>
  <w:style w:type="paragraph" w:customStyle="1" w:styleId="239">
    <w:name w:val="正文文本缩进 31"/>
    <w:basedOn w:val="1"/>
    <w:link w:val="240"/>
    <w:qFormat/>
    <w:uiPriority w:val="0"/>
    <w:pPr>
      <w:spacing w:before="120" w:line="22" w:lineRule="atLeast"/>
      <w:ind w:left="720" w:firstLine="480"/>
      <w:jc w:val="left"/>
    </w:pPr>
    <w:rPr>
      <w:rFonts w:ascii="宋体"/>
      <w:sz w:val="24"/>
      <w:szCs w:val="20"/>
    </w:rPr>
  </w:style>
  <w:style w:type="character" w:customStyle="1" w:styleId="240">
    <w:name w:val="正文文本缩进 3 字符"/>
    <w:link w:val="239"/>
    <w:qFormat/>
    <w:uiPriority w:val="0"/>
    <w:rPr>
      <w:rFonts w:ascii="宋体"/>
      <w:sz w:val="24"/>
    </w:rPr>
  </w:style>
  <w:style w:type="paragraph" w:customStyle="1" w:styleId="241">
    <w:name w:val="目录 21"/>
    <w:basedOn w:val="1"/>
    <w:next w:val="1"/>
    <w:qFormat/>
    <w:uiPriority w:val="39"/>
    <w:pPr>
      <w:tabs>
        <w:tab w:val="right" w:leader="dot" w:pos="8937"/>
      </w:tabs>
      <w:spacing w:line="312" w:lineRule="auto"/>
      <w:ind w:left="420"/>
    </w:pPr>
  </w:style>
  <w:style w:type="paragraph" w:customStyle="1" w:styleId="242">
    <w:name w:val="目录 91"/>
    <w:basedOn w:val="1"/>
    <w:next w:val="1"/>
    <w:qFormat/>
    <w:uiPriority w:val="0"/>
    <w:pPr>
      <w:ind w:left="3360"/>
    </w:pPr>
  </w:style>
  <w:style w:type="paragraph" w:customStyle="1" w:styleId="243">
    <w:name w:val="正文文本 21"/>
    <w:basedOn w:val="1"/>
    <w:next w:val="36"/>
    <w:qFormat/>
    <w:uiPriority w:val="0"/>
    <w:pPr>
      <w:widowControl w:val="0"/>
      <w:spacing w:after="120" w:line="480" w:lineRule="auto"/>
      <w:jc w:val="both"/>
    </w:pPr>
    <w:rPr>
      <w:sz w:val="21"/>
    </w:rPr>
  </w:style>
  <w:style w:type="paragraph" w:customStyle="1" w:styleId="244">
    <w:name w:val="HTML 预设格式1"/>
    <w:basedOn w:val="1"/>
    <w:link w:val="24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45">
    <w:name w:val="HTML 预设格式 字符"/>
    <w:link w:val="244"/>
    <w:qFormat/>
    <w:uiPriority w:val="0"/>
    <w:rPr>
      <w:rFonts w:ascii="宋体" w:hAnsi="宋体" w:cs="宋体"/>
      <w:sz w:val="24"/>
      <w:szCs w:val="24"/>
    </w:rPr>
  </w:style>
  <w:style w:type="paragraph" w:customStyle="1" w:styleId="246">
    <w:name w:val="普通(网站)1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47">
    <w:name w:val="索引 11"/>
    <w:basedOn w:val="1"/>
    <w:next w:val="1"/>
    <w:qFormat/>
    <w:uiPriority w:val="0"/>
    <w:rPr>
      <w:szCs w:val="20"/>
    </w:rPr>
  </w:style>
  <w:style w:type="paragraph" w:customStyle="1" w:styleId="248">
    <w:name w:val="标题1"/>
    <w:basedOn w:val="1"/>
    <w:link w:val="249"/>
    <w:qFormat/>
    <w:uiPriority w:val="0"/>
    <w:pPr>
      <w:jc w:val="center"/>
      <w:outlineLvl w:val="0"/>
    </w:pPr>
    <w:rPr>
      <w:b/>
      <w:sz w:val="32"/>
      <w:szCs w:val="20"/>
    </w:rPr>
  </w:style>
  <w:style w:type="character" w:customStyle="1" w:styleId="249">
    <w:name w:val="标题 字符"/>
    <w:link w:val="248"/>
    <w:qFormat/>
    <w:uiPriority w:val="0"/>
    <w:rPr>
      <w:b/>
      <w:sz w:val="32"/>
    </w:rPr>
  </w:style>
  <w:style w:type="paragraph" w:customStyle="1" w:styleId="250">
    <w:name w:val="批注主题1"/>
    <w:basedOn w:val="212"/>
    <w:next w:val="212"/>
    <w:link w:val="251"/>
    <w:qFormat/>
    <w:uiPriority w:val="0"/>
    <w:rPr>
      <w:b/>
      <w:bCs/>
    </w:rPr>
  </w:style>
  <w:style w:type="character" w:customStyle="1" w:styleId="251">
    <w:name w:val="批注主题 字符"/>
    <w:link w:val="250"/>
    <w:qFormat/>
    <w:uiPriority w:val="0"/>
    <w:rPr>
      <w:rFonts w:ascii="Times New Roman" w:hAnsi="Times New Roman" w:eastAsia="宋体" w:cs="Times New Roman"/>
      <w:b/>
      <w:bCs/>
      <w:sz w:val="21"/>
      <w:szCs w:val="24"/>
      <w:lang w:val="en-US" w:eastAsia="zh-CN" w:bidi="ar-SA"/>
    </w:rPr>
  </w:style>
  <w:style w:type="paragraph" w:customStyle="1" w:styleId="252">
    <w:name w:val="正文首行缩进 211"/>
    <w:basedOn w:val="217"/>
    <w:link w:val="253"/>
    <w:qFormat/>
    <w:uiPriority w:val="0"/>
    <w:pPr>
      <w:spacing w:after="120" w:line="480" w:lineRule="exact"/>
      <w:ind w:left="420" w:firstLine="420"/>
    </w:pPr>
    <w:rPr>
      <w:szCs w:val="20"/>
    </w:rPr>
  </w:style>
  <w:style w:type="character" w:customStyle="1" w:styleId="253">
    <w:name w:val="正文文本首行缩进 2 字符"/>
    <w:link w:val="252"/>
    <w:qFormat/>
    <w:uiPriority w:val="0"/>
    <w:rPr>
      <w:rFonts w:eastAsia="宋体"/>
      <w:sz w:val="24"/>
      <w:szCs w:val="24"/>
      <w:lang w:val="en-US" w:eastAsia="zh-CN" w:bidi="ar-SA"/>
    </w:rPr>
  </w:style>
  <w:style w:type="table" w:customStyle="1" w:styleId="254">
    <w:name w:val="网格型1"/>
    <w:basedOn w:val="196"/>
    <w:qFormat/>
    <w:uiPriority w:val="39"/>
  </w:style>
  <w:style w:type="table" w:customStyle="1" w:styleId="255">
    <w:name w:val="中等深浅网格 1 - 强调文字颜色 21"/>
    <w:basedOn w:val="196"/>
    <w:qFormat/>
    <w:uiPriority w:val="0"/>
    <w:rPr>
      <w:sz w:val="21"/>
      <w:szCs w:val="24"/>
    </w:rPr>
  </w:style>
  <w:style w:type="character" w:customStyle="1" w:styleId="256">
    <w:name w:val="要点1"/>
    <w:link w:val="1"/>
    <w:qFormat/>
    <w:uiPriority w:val="0"/>
    <w:rPr>
      <w:b/>
      <w:bCs/>
    </w:rPr>
  </w:style>
  <w:style w:type="character" w:customStyle="1" w:styleId="257">
    <w:name w:val="页码1"/>
    <w:link w:val="1"/>
    <w:qFormat/>
    <w:uiPriority w:val="0"/>
  </w:style>
  <w:style w:type="character" w:customStyle="1" w:styleId="258">
    <w:name w:val="已访问的超链接1"/>
    <w:basedOn w:val="195"/>
    <w:link w:val="1"/>
    <w:qFormat/>
    <w:uiPriority w:val="0"/>
    <w:rPr>
      <w:color w:val="800080"/>
      <w:u w:val="none"/>
    </w:rPr>
  </w:style>
  <w:style w:type="character" w:customStyle="1" w:styleId="259">
    <w:name w:val="强调1"/>
    <w:link w:val="1"/>
    <w:qFormat/>
    <w:uiPriority w:val="0"/>
    <w:rPr>
      <w:color w:val="CC0033"/>
    </w:rPr>
  </w:style>
  <w:style w:type="character" w:customStyle="1" w:styleId="260">
    <w:name w:val="HTML 定义1"/>
    <w:basedOn w:val="195"/>
    <w:link w:val="1"/>
    <w:qFormat/>
    <w:uiPriority w:val="0"/>
  </w:style>
  <w:style w:type="character" w:customStyle="1" w:styleId="261">
    <w:name w:val="HTML 打字机1"/>
    <w:basedOn w:val="195"/>
    <w:link w:val="1"/>
    <w:qFormat/>
    <w:uiPriority w:val="0"/>
    <w:rPr>
      <w:rFonts w:ascii="monospace" w:hAnsi="monospace" w:eastAsia="monospace" w:cs="monospace"/>
      <w:sz w:val="20"/>
    </w:rPr>
  </w:style>
  <w:style w:type="character" w:customStyle="1" w:styleId="262">
    <w:name w:val="HTML 缩写1"/>
    <w:basedOn w:val="195"/>
    <w:link w:val="1"/>
    <w:qFormat/>
    <w:uiPriority w:val="0"/>
  </w:style>
  <w:style w:type="character" w:customStyle="1" w:styleId="263">
    <w:name w:val="HTML 变量1"/>
    <w:basedOn w:val="195"/>
    <w:link w:val="1"/>
    <w:qFormat/>
    <w:uiPriority w:val="0"/>
  </w:style>
  <w:style w:type="character" w:customStyle="1" w:styleId="264">
    <w:name w:val="超链接11"/>
    <w:basedOn w:val="195"/>
    <w:link w:val="1"/>
    <w:qFormat/>
    <w:uiPriority w:val="99"/>
    <w:rPr>
      <w:color w:val="0000FF"/>
      <w:u w:val="none"/>
    </w:rPr>
  </w:style>
  <w:style w:type="character" w:customStyle="1" w:styleId="265">
    <w:name w:val="HTML 代码1"/>
    <w:basedOn w:val="195"/>
    <w:link w:val="1"/>
    <w:qFormat/>
    <w:uiPriority w:val="0"/>
    <w:rPr>
      <w:rFonts w:ascii="monospace" w:hAnsi="monospace" w:eastAsia="monospace" w:cs="monospace"/>
      <w:sz w:val="20"/>
    </w:rPr>
  </w:style>
  <w:style w:type="character" w:customStyle="1" w:styleId="266">
    <w:name w:val="批注引用1"/>
    <w:link w:val="1"/>
    <w:qFormat/>
    <w:uiPriority w:val="99"/>
    <w:rPr>
      <w:sz w:val="21"/>
      <w:szCs w:val="21"/>
    </w:rPr>
  </w:style>
  <w:style w:type="character" w:customStyle="1" w:styleId="267">
    <w:name w:val="HTML 引文1"/>
    <w:link w:val="1"/>
    <w:qFormat/>
    <w:uiPriority w:val="0"/>
    <w:rPr>
      <w:i/>
      <w:iCs/>
    </w:rPr>
  </w:style>
  <w:style w:type="character" w:customStyle="1" w:styleId="268">
    <w:name w:val="HTML 键盘1"/>
    <w:basedOn w:val="195"/>
    <w:link w:val="1"/>
    <w:qFormat/>
    <w:uiPriority w:val="0"/>
    <w:rPr>
      <w:rFonts w:ascii="monospace" w:hAnsi="monospace" w:eastAsia="monospace" w:cs="monospace"/>
      <w:sz w:val="20"/>
    </w:rPr>
  </w:style>
  <w:style w:type="character" w:customStyle="1" w:styleId="269">
    <w:name w:val="HTML 样本1"/>
    <w:basedOn w:val="195"/>
    <w:link w:val="1"/>
    <w:qFormat/>
    <w:uiPriority w:val="0"/>
    <w:rPr>
      <w:rFonts w:ascii="monospace" w:hAnsi="monospace" w:eastAsia="monospace" w:cs="monospace"/>
    </w:rPr>
  </w:style>
  <w:style w:type="character" w:customStyle="1" w:styleId="270">
    <w:name w:val="超链接1"/>
    <w:link w:val="1"/>
    <w:qFormat/>
    <w:uiPriority w:val="99"/>
    <w:rPr>
      <w:sz w:val="21"/>
      <w:szCs w:val="24"/>
      <w:lang w:val="en-US" w:eastAsia="zh-CN" w:bidi="ar-SA"/>
    </w:rPr>
  </w:style>
  <w:style w:type="character" w:customStyle="1" w:styleId="271">
    <w:name w:val="成文日期 Char"/>
    <w:link w:val="272"/>
    <w:qFormat/>
    <w:uiPriority w:val="0"/>
    <w:rPr>
      <w:rFonts w:ascii="仿宋_GB2312" w:eastAsia="仿宋_GB2312"/>
      <w:sz w:val="32"/>
    </w:rPr>
  </w:style>
  <w:style w:type="paragraph" w:customStyle="1" w:styleId="272">
    <w:name w:val="成文日期"/>
    <w:basedOn w:val="1"/>
    <w:link w:val="271"/>
    <w:qFormat/>
    <w:uiPriority w:val="0"/>
    <w:pPr>
      <w:spacing w:line="570" w:lineRule="exact"/>
      <w:ind w:right="400" w:firstLine="200"/>
      <w:jc w:val="right"/>
    </w:pPr>
    <w:rPr>
      <w:rFonts w:ascii="仿宋_GB2312" w:eastAsia="仿宋_GB2312"/>
      <w:sz w:val="32"/>
      <w:szCs w:val="20"/>
    </w:rPr>
  </w:style>
  <w:style w:type="character" w:customStyle="1" w:styleId="273">
    <w:name w:val="标题 Char"/>
    <w:link w:val="1"/>
    <w:qFormat/>
    <w:uiPriority w:val="0"/>
    <w:rPr>
      <w:b/>
      <w:sz w:val="32"/>
    </w:rPr>
  </w:style>
  <w:style w:type="character" w:customStyle="1" w:styleId="274">
    <w:name w:val="批注文字 Char"/>
    <w:link w:val="1"/>
    <w:qFormat/>
    <w:uiPriority w:val="99"/>
    <w:rPr>
      <w:sz w:val="21"/>
      <w:szCs w:val="24"/>
    </w:rPr>
  </w:style>
  <w:style w:type="character" w:customStyle="1" w:styleId="275">
    <w:name w:val="标题 2 Char"/>
    <w:link w:val="1"/>
    <w:qFormat/>
    <w:uiPriority w:val="0"/>
    <w:rPr>
      <w:rFonts w:ascii="Arial" w:hAnsi="Arial" w:eastAsia="黑体"/>
      <w:b/>
      <w:sz w:val="30"/>
      <w:lang w:val="en-US" w:eastAsia="zh-CN" w:bidi="ar-SA"/>
    </w:rPr>
  </w:style>
  <w:style w:type="character" w:customStyle="1" w:styleId="276">
    <w:name w:val="正文文本缩进 Char"/>
    <w:link w:val="1"/>
    <w:qFormat/>
    <w:uiPriority w:val="0"/>
    <w:rPr>
      <w:rFonts w:eastAsia="宋体"/>
      <w:sz w:val="24"/>
      <w:szCs w:val="24"/>
      <w:lang w:val="en-US" w:eastAsia="zh-CN" w:bidi="ar-SA"/>
    </w:rPr>
  </w:style>
  <w:style w:type="character" w:customStyle="1" w:styleId="277">
    <w:name w:val="正文缩进 Char"/>
    <w:link w:val="1"/>
    <w:qFormat/>
    <w:uiPriority w:val="0"/>
    <w:rPr>
      <w:rFonts w:ascii="宋体" w:eastAsia="宋体"/>
      <w:sz w:val="24"/>
      <w:szCs w:val="24"/>
      <w:lang w:val="en-US" w:eastAsia="zh-CN" w:bidi="ar-SA"/>
    </w:rPr>
  </w:style>
  <w:style w:type="character" w:customStyle="1" w:styleId="278">
    <w:name w:val="正文格式 Char"/>
    <w:link w:val="279"/>
    <w:qFormat/>
    <w:uiPriority w:val="0"/>
    <w:rPr>
      <w:rFonts w:ascii="宋体" w:hAnsi="宋体"/>
      <w:sz w:val="24"/>
      <w:szCs w:val="24"/>
      <w:lang w:val="en-GB"/>
    </w:rPr>
  </w:style>
  <w:style w:type="paragraph" w:customStyle="1" w:styleId="279">
    <w:name w:val="正文格式"/>
    <w:basedOn w:val="1"/>
    <w:link w:val="278"/>
    <w:qFormat/>
    <w:uiPriority w:val="0"/>
    <w:pPr>
      <w:spacing w:line="360" w:lineRule="auto"/>
      <w:ind w:firstLine="480"/>
    </w:pPr>
    <w:rPr>
      <w:rFonts w:ascii="宋体" w:hAnsi="宋体"/>
      <w:sz w:val="24"/>
      <w:lang w:val="en-GB"/>
    </w:rPr>
  </w:style>
  <w:style w:type="character" w:customStyle="1" w:styleId="280">
    <w:name w:val="纯文本 字符"/>
    <w:link w:val="1"/>
    <w:qFormat/>
    <w:uiPriority w:val="99"/>
    <w:rPr>
      <w:rFonts w:ascii="宋体" w:hAnsi="Courier New" w:eastAsia="宋体" w:cs="Times New Roman"/>
      <w:sz w:val="21"/>
      <w:szCs w:val="21"/>
      <w:lang w:val="en-US" w:eastAsia="zh-CN" w:bidi="ar-SA"/>
    </w:rPr>
  </w:style>
  <w:style w:type="character" w:customStyle="1" w:styleId="281">
    <w:name w:val="注释 Char"/>
    <w:link w:val="282"/>
    <w:qFormat/>
    <w:uiPriority w:val="0"/>
    <w:rPr>
      <w:rFonts w:ascii="宋体" w:hAnsi="宋体"/>
      <w:sz w:val="21"/>
      <w:szCs w:val="21"/>
    </w:rPr>
  </w:style>
  <w:style w:type="paragraph" w:customStyle="1" w:styleId="282">
    <w:name w:val="注释"/>
    <w:basedOn w:val="1"/>
    <w:link w:val="281"/>
    <w:qFormat/>
    <w:uiPriority w:val="0"/>
    <w:pPr>
      <w:ind w:left="420" w:hanging="420"/>
      <w:jc w:val="left"/>
    </w:pPr>
    <w:rPr>
      <w:rFonts w:ascii="宋体" w:hAnsi="宋体"/>
      <w:szCs w:val="21"/>
    </w:rPr>
  </w:style>
  <w:style w:type="character" w:customStyle="1" w:styleId="283">
    <w:name w:val="正文大标题 Char"/>
    <w:link w:val="284"/>
    <w:qFormat/>
    <w:uiPriority w:val="0"/>
    <w:rPr>
      <w:rFonts w:ascii="宋体" w:hAnsi="宋体"/>
      <w:b/>
      <w:color w:val="000000"/>
      <w:sz w:val="28"/>
      <w:szCs w:val="21"/>
    </w:rPr>
  </w:style>
  <w:style w:type="paragraph" w:customStyle="1" w:styleId="284">
    <w:name w:val="正文大标题"/>
    <w:basedOn w:val="285"/>
    <w:next w:val="187"/>
    <w:link w:val="283"/>
    <w:qFormat/>
    <w:uiPriority w:val="0"/>
    <w:pPr>
      <w:jc w:val="center"/>
    </w:pPr>
    <w:rPr>
      <w:i w:val="0"/>
      <w:color w:val="000000"/>
      <w:sz w:val="28"/>
      <w:szCs w:val="21"/>
    </w:rPr>
  </w:style>
  <w:style w:type="paragraph" w:customStyle="1" w:styleId="285">
    <w:name w:val="正文小标题"/>
    <w:basedOn w:val="1"/>
    <w:next w:val="187"/>
    <w:link w:val="286"/>
    <w:qFormat/>
    <w:uiPriority w:val="0"/>
    <w:pPr>
      <w:ind w:firstLine="482"/>
      <w:jc w:val="left"/>
    </w:pPr>
    <w:rPr>
      <w:rFonts w:ascii="宋体" w:hAnsi="宋体"/>
      <w:b/>
      <w:i/>
      <w:color w:val="FF0000"/>
      <w:sz w:val="24"/>
      <w:szCs w:val="20"/>
    </w:rPr>
  </w:style>
  <w:style w:type="character" w:customStyle="1" w:styleId="286">
    <w:name w:val="正文小标题 Char"/>
    <w:link w:val="285"/>
    <w:qFormat/>
    <w:uiPriority w:val="0"/>
    <w:rPr>
      <w:rFonts w:ascii="宋体" w:hAnsi="宋体"/>
      <w:b/>
      <w:i/>
      <w:color w:val="FF0000"/>
      <w:sz w:val="24"/>
    </w:rPr>
  </w:style>
  <w:style w:type="character" w:customStyle="1" w:styleId="287">
    <w:name w:val="正文重点 Char"/>
    <w:link w:val="288"/>
    <w:qFormat/>
    <w:uiPriority w:val="0"/>
    <w:rPr>
      <w:b/>
      <w:sz w:val="24"/>
    </w:rPr>
  </w:style>
  <w:style w:type="paragraph" w:customStyle="1" w:styleId="288">
    <w:name w:val="正文重点"/>
    <w:basedOn w:val="1"/>
    <w:link w:val="287"/>
    <w:qFormat/>
    <w:uiPriority w:val="0"/>
    <w:pPr>
      <w:spacing w:line="360" w:lineRule="auto"/>
      <w:ind w:firstLine="482"/>
      <w:jc w:val="left"/>
    </w:pPr>
    <w:rPr>
      <w:b/>
      <w:sz w:val="24"/>
      <w:szCs w:val="20"/>
    </w:rPr>
  </w:style>
  <w:style w:type="character" w:customStyle="1" w:styleId="289">
    <w:name w:val="正文表格 Char"/>
    <w:link w:val="290"/>
    <w:qFormat/>
    <w:uiPriority w:val="0"/>
    <w:rPr>
      <w:rFonts w:ascii="宋体" w:hAnsi="宋体"/>
      <w:color w:val="000000"/>
      <w:sz w:val="21"/>
      <w:szCs w:val="21"/>
    </w:rPr>
  </w:style>
  <w:style w:type="paragraph" w:customStyle="1" w:styleId="290">
    <w:name w:val="正文表格"/>
    <w:basedOn w:val="1"/>
    <w:link w:val="289"/>
    <w:qFormat/>
    <w:uiPriority w:val="0"/>
    <w:pPr>
      <w:jc w:val="left"/>
    </w:pPr>
    <w:rPr>
      <w:rFonts w:ascii="宋体" w:hAnsi="宋体"/>
      <w:color w:val="000000"/>
      <w:szCs w:val="21"/>
    </w:rPr>
  </w:style>
  <w:style w:type="character" w:customStyle="1" w:styleId="291">
    <w:name w:val="纯文本 Char1"/>
    <w:link w:val="1"/>
    <w:qFormat/>
    <w:uiPriority w:val="0"/>
    <w:rPr>
      <w:rFonts w:ascii="宋体" w:hAnsi="Courier New" w:eastAsia="宋体"/>
      <w:sz w:val="21"/>
      <w:lang w:val="en-US" w:eastAsia="zh-CN" w:bidi="ar-SA"/>
    </w:rPr>
  </w:style>
  <w:style w:type="character" w:customStyle="1" w:styleId="292">
    <w:name w:val="chanpin拷贝"/>
    <w:link w:val="1"/>
    <w:qFormat/>
    <w:uiPriority w:val="0"/>
  </w:style>
  <w:style w:type="character" w:customStyle="1" w:styleId="293">
    <w:name w:val="列表段落 字符"/>
    <w:link w:val="294"/>
    <w:qFormat/>
    <w:uiPriority w:val="34"/>
    <w:rPr>
      <w:rFonts w:ascii="Calibri" w:hAnsi="Calibri" w:eastAsia="宋体"/>
      <w:sz w:val="21"/>
      <w:szCs w:val="22"/>
      <w:lang w:val="en-US" w:eastAsia="zh-CN" w:bidi="ar-SA"/>
    </w:rPr>
  </w:style>
  <w:style w:type="paragraph" w:customStyle="1" w:styleId="294">
    <w:name w:val="列表段落"/>
    <w:basedOn w:val="1"/>
    <w:link w:val="293"/>
    <w:qFormat/>
    <w:uiPriority w:val="34"/>
    <w:pPr>
      <w:ind w:firstLine="420"/>
    </w:pPr>
    <w:rPr>
      <w:rFonts w:ascii="Calibri" w:hAnsi="Calibri"/>
      <w:szCs w:val="22"/>
    </w:rPr>
  </w:style>
  <w:style w:type="character" w:customStyle="1" w:styleId="295">
    <w:name w:val="txt"/>
    <w:link w:val="1"/>
    <w:qFormat/>
    <w:uiPriority w:val="0"/>
  </w:style>
  <w:style w:type="character" w:customStyle="1" w:styleId="296">
    <w:name w:val="Char Char11"/>
    <w:link w:val="1"/>
    <w:qFormat/>
    <w:uiPriority w:val="0"/>
    <w:rPr>
      <w:rFonts w:ascii="宋体" w:eastAsia="宋体"/>
      <w:b/>
      <w:sz w:val="24"/>
      <w:u w:val="single"/>
      <w:lang w:val="en-US" w:eastAsia="zh-CN" w:bidi="ar-SA"/>
    </w:rPr>
  </w:style>
  <w:style w:type="character" w:customStyle="1" w:styleId="297">
    <w:name w:val="正文文本缩进 Char1"/>
    <w:link w:val="298"/>
    <w:qFormat/>
    <w:uiPriority w:val="0"/>
    <w:rPr>
      <w:rFonts w:ascii="宋体" w:hAnsi="宋体" w:eastAsia="宋体"/>
      <w:sz w:val="24"/>
      <w:szCs w:val="24"/>
      <w:lang w:bidi="ar-SA"/>
    </w:rPr>
  </w:style>
  <w:style w:type="paragraph" w:customStyle="1" w:styleId="298">
    <w:name w:val="正文文本缩进1"/>
    <w:basedOn w:val="299"/>
    <w:next w:val="301"/>
    <w:link w:val="297"/>
    <w:qFormat/>
    <w:uiPriority w:val="0"/>
    <w:pPr>
      <w:spacing w:line="480" w:lineRule="exact"/>
      <w:ind w:firstLine="480"/>
    </w:pPr>
    <w:rPr>
      <w:rFonts w:ascii="宋体" w:hAnsi="宋体"/>
      <w:sz w:val="24"/>
    </w:rPr>
  </w:style>
  <w:style w:type="paragraph" w:customStyle="1" w:styleId="299">
    <w:name w:val="正文12"/>
    <w:next w:val="30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00">
    <w:name w:val="无间隔1"/>
    <w:qFormat/>
    <w:uiPriority w:val="0"/>
    <w:rPr>
      <w:rFonts w:hint="default" w:ascii="Calibri" w:hAnsi="Calibri" w:eastAsia="宋体" w:cs="Times New Roman"/>
      <w:sz w:val="22"/>
      <w:lang w:val="en-US" w:eastAsia="zh-CN" w:bidi="ar-SA"/>
    </w:rPr>
  </w:style>
  <w:style w:type="paragraph" w:customStyle="1" w:styleId="301">
    <w:name w:val="寄信人地址1"/>
    <w:basedOn w:val="1"/>
    <w:qFormat/>
    <w:uiPriority w:val="0"/>
    <w:rPr>
      <w:rFonts w:ascii="Arial" w:hAnsi="Arial"/>
    </w:rPr>
  </w:style>
  <w:style w:type="character" w:customStyle="1" w:styleId="302">
    <w:name w:val="locality"/>
    <w:link w:val="1"/>
    <w:qFormat/>
    <w:uiPriority w:val="0"/>
  </w:style>
  <w:style w:type="character" w:customStyle="1" w:styleId="303">
    <w:name w:val="street-address"/>
    <w:link w:val="1"/>
    <w:qFormat/>
    <w:uiPriority w:val="0"/>
  </w:style>
  <w:style w:type="character" w:customStyle="1" w:styleId="304">
    <w:name w:val="Char Char111"/>
    <w:link w:val="1"/>
    <w:qFormat/>
    <w:uiPriority w:val="0"/>
    <w:rPr>
      <w:rFonts w:ascii="宋体" w:eastAsia="宋体"/>
      <w:b/>
      <w:sz w:val="24"/>
      <w:u w:val="single"/>
      <w:lang w:val="en-US" w:eastAsia="zh-CN" w:bidi="ar-SA"/>
    </w:rPr>
  </w:style>
  <w:style w:type="character" w:customStyle="1" w:styleId="305">
    <w:name w:val="标题 2 Char Char"/>
    <w:link w:val="1"/>
    <w:qFormat/>
    <w:uiPriority w:val="0"/>
    <w:rPr>
      <w:rFonts w:ascii="Arial" w:hAnsi="Arial" w:eastAsia="黑体"/>
      <w:b/>
      <w:bCs/>
      <w:sz w:val="32"/>
      <w:szCs w:val="32"/>
      <w:lang w:val="en-US" w:eastAsia="zh-CN" w:bidi="ar-SA"/>
    </w:rPr>
  </w:style>
  <w:style w:type="character" w:customStyle="1" w:styleId="306">
    <w:name w:val="c21"/>
    <w:link w:val="1"/>
    <w:qFormat/>
    <w:uiPriority w:val="0"/>
    <w:rPr>
      <w:rFonts w:ascii="ˎ̥" w:hAnsi="ˎ̥"/>
      <w:color w:val="000000"/>
      <w:sz w:val="20"/>
      <w:szCs w:val="20"/>
      <w:u w:val="none"/>
    </w:rPr>
  </w:style>
  <w:style w:type="character" w:customStyle="1" w:styleId="307">
    <w:name w:val="标题 3 Char Char"/>
    <w:link w:val="1"/>
    <w:qFormat/>
    <w:uiPriority w:val="0"/>
    <w:rPr>
      <w:rFonts w:eastAsia="宋体"/>
      <w:b/>
      <w:bCs/>
      <w:sz w:val="32"/>
      <w:szCs w:val="32"/>
      <w:lang w:val="en-US" w:eastAsia="zh-CN" w:bidi="ar-SA"/>
    </w:rPr>
  </w:style>
  <w:style w:type="character" w:customStyle="1" w:styleId="308">
    <w:name w:val="列出段落 Char"/>
    <w:link w:val="1"/>
    <w:qFormat/>
    <w:uiPriority w:val="0"/>
    <w:rPr>
      <w:rFonts w:ascii="Calibri" w:hAnsi="Calibri" w:eastAsia="宋体"/>
      <w:sz w:val="21"/>
      <w:szCs w:val="22"/>
      <w:lang w:val="en-US" w:eastAsia="zh-CN" w:bidi="ar-SA"/>
    </w:rPr>
  </w:style>
  <w:style w:type="character" w:customStyle="1" w:styleId="309">
    <w:name w:val="段1 Char"/>
    <w:link w:val="1"/>
    <w:qFormat/>
    <w:uiPriority w:val="0"/>
    <w:rPr>
      <w:rFonts w:ascii="宋体" w:eastAsia="宋体"/>
      <w:sz w:val="24"/>
      <w:lang w:val="en-US" w:eastAsia="zh-CN" w:bidi="ar-SA"/>
    </w:rPr>
  </w:style>
  <w:style w:type="character" w:customStyle="1" w:styleId="310">
    <w:name w:val="chanpin1"/>
    <w:link w:val="1"/>
    <w:qFormat/>
    <w:uiPriority w:val="0"/>
    <w:rPr>
      <w:rFonts w:ascii="ˎ̥" w:hAnsi="ˎ̥"/>
      <w:color w:val="000000"/>
      <w:sz w:val="20"/>
      <w:szCs w:val="20"/>
      <w:u w:val="none"/>
    </w:rPr>
  </w:style>
  <w:style w:type="character" w:customStyle="1" w:styleId="311">
    <w:name w:val="标题 3 Char"/>
    <w:link w:val="1"/>
    <w:qFormat/>
    <w:uiPriority w:val="0"/>
    <w:rPr>
      <w:rFonts w:ascii="宋体" w:eastAsia="宋体"/>
      <w:b/>
      <w:sz w:val="24"/>
      <w:u w:val="single"/>
      <w:lang w:val="en-US" w:eastAsia="zh-CN" w:bidi="ar-SA"/>
    </w:rPr>
  </w:style>
  <w:style w:type="character" w:customStyle="1" w:styleId="312">
    <w:name w:val="正文缩进 Char Char"/>
    <w:link w:val="313"/>
    <w:qFormat/>
    <w:uiPriority w:val="0"/>
    <w:rPr>
      <w:rFonts w:ascii="宋体" w:eastAsia="宋体"/>
      <w:color w:val="000000"/>
      <w:sz w:val="28"/>
      <w:lang w:bidi="ar-SA"/>
    </w:rPr>
  </w:style>
  <w:style w:type="paragraph" w:customStyle="1" w:styleId="313">
    <w:name w:val="正文缩进1"/>
    <w:basedOn w:val="1"/>
    <w:link w:val="312"/>
    <w:qFormat/>
    <w:uiPriority w:val="0"/>
    <w:pPr>
      <w:widowControl/>
      <w:spacing w:line="480" w:lineRule="exact"/>
      <w:ind w:firstLine="567"/>
    </w:pPr>
    <w:rPr>
      <w:rFonts w:ascii="宋体"/>
      <w:color w:val="000000"/>
      <w:sz w:val="28"/>
      <w:szCs w:val="20"/>
    </w:rPr>
  </w:style>
  <w:style w:type="character" w:customStyle="1" w:styleId="314">
    <w:name w:val="纯文本 字符1"/>
    <w:link w:val="1"/>
    <w:qFormat/>
    <w:uiPriority w:val="0"/>
    <w:rPr>
      <w:rFonts w:ascii="宋体" w:hAnsi="Courier New"/>
    </w:rPr>
  </w:style>
  <w:style w:type="character" w:customStyle="1" w:styleId="315">
    <w:name w:val="普通文字1 Char1"/>
    <w:link w:val="1"/>
    <w:qFormat/>
    <w:uiPriority w:val="0"/>
    <w:rPr>
      <w:rFonts w:ascii="宋体" w:hAnsi="Courier New" w:eastAsia="宋体"/>
      <w:sz w:val="21"/>
      <w:lang w:val="en-US" w:eastAsia="zh-CN" w:bidi="ar-SA"/>
    </w:rPr>
  </w:style>
  <w:style w:type="character" w:customStyle="1" w:styleId="316">
    <w:name w:val="中等深浅网格 1 - 强调文字颜色 2 Char"/>
    <w:link w:val="317"/>
    <w:qFormat/>
    <w:uiPriority w:val="0"/>
    <w:rPr>
      <w:sz w:val="21"/>
      <w:szCs w:val="24"/>
      <w:lang w:val="zh-CN" w:eastAsia="zh-CN" w:bidi="ar-SA"/>
    </w:rPr>
  </w:style>
  <w:style w:type="paragraph" w:customStyle="1" w:styleId="317">
    <w:name w:val="1"/>
    <w:link w:val="316"/>
    <w:qFormat/>
    <w:uiPriority w:val="0"/>
    <w:rPr>
      <w:rFonts w:hint="default" w:ascii="Times New Roman" w:hAnsi="Times New Roman" w:eastAsia="宋体" w:cs="Times New Roman"/>
      <w:sz w:val="21"/>
      <w:szCs w:val="24"/>
      <w:lang w:val="zh-CN" w:eastAsia="zh-CN" w:bidi="ar-SA"/>
    </w:rPr>
  </w:style>
  <w:style w:type="character" w:customStyle="1" w:styleId="318">
    <w:name w:val="apple-style-span"/>
    <w:link w:val="1"/>
    <w:qFormat/>
    <w:uiPriority w:val="0"/>
    <w:rPr>
      <w:rFonts w:cs="Times New Roman"/>
    </w:rPr>
  </w:style>
  <w:style w:type="character" w:customStyle="1" w:styleId="319">
    <w:name w:val="black1"/>
    <w:link w:val="1"/>
    <w:qFormat/>
    <w:uiPriority w:val="0"/>
    <w:rPr>
      <w:color w:val="000000"/>
    </w:rPr>
  </w:style>
  <w:style w:type="character" w:customStyle="1" w:styleId="320">
    <w:name w:val="页脚 Char"/>
    <w:link w:val="1"/>
    <w:qFormat/>
    <w:uiPriority w:val="0"/>
    <w:rPr>
      <w:rFonts w:ascii="宋体" w:eastAsia="宋体"/>
      <w:sz w:val="18"/>
      <w:lang w:val="en-US" w:eastAsia="zh-CN" w:bidi="ar-SA"/>
    </w:rPr>
  </w:style>
  <w:style w:type="character" w:customStyle="1" w:styleId="321">
    <w:name w:val="页眉 Char"/>
    <w:link w:val="1"/>
    <w:qFormat/>
    <w:uiPriority w:val="0"/>
    <w:rPr>
      <w:rFonts w:eastAsia="宋体"/>
      <w:sz w:val="18"/>
      <w:szCs w:val="18"/>
      <w:lang w:val="en-US" w:eastAsia="zh-CN" w:bidi="ar-SA"/>
    </w:rPr>
  </w:style>
  <w:style w:type="character" w:customStyle="1" w:styleId="322">
    <w:name w:val="bjh-p"/>
    <w:link w:val="1"/>
    <w:qFormat/>
    <w:uiPriority w:val="0"/>
  </w:style>
  <w:style w:type="character" w:customStyle="1" w:styleId="323">
    <w:name w:val="批注文字 字符"/>
    <w:link w:val="1"/>
    <w:qFormat/>
    <w:uiPriority w:val="99"/>
    <w:rPr>
      <w:rFonts w:ascii="Times New Roman" w:hAnsi="Times New Roman" w:eastAsia="宋体" w:cs="Times New Roman"/>
      <w:sz w:val="24"/>
      <w:lang w:val="en-US" w:eastAsia="zh-CN" w:bidi="ar-SA"/>
    </w:rPr>
  </w:style>
  <w:style w:type="character" w:customStyle="1" w:styleId="324">
    <w:name w:val="title4"/>
    <w:link w:val="1"/>
    <w:qFormat/>
    <w:uiPriority w:val="0"/>
    <w:rPr>
      <w:b/>
      <w:bCs/>
      <w:color w:val="1D87B3"/>
      <w:sz w:val="15"/>
      <w:szCs w:val="15"/>
    </w:rPr>
  </w:style>
  <w:style w:type="paragraph" w:customStyle="1" w:styleId="325">
    <w:name w:val="图例"/>
    <w:basedOn w:val="1"/>
    <w:qFormat/>
    <w:uiPriority w:val="0"/>
    <w:pPr>
      <w:spacing w:before="120" w:after="120" w:line="360" w:lineRule="auto"/>
      <w:jc w:val="center"/>
    </w:pPr>
    <w:rPr>
      <w:rFonts w:eastAsia="仿宋_GB2312"/>
      <w:b/>
      <w:sz w:val="24"/>
      <w:szCs w:val="20"/>
    </w:rPr>
  </w:style>
  <w:style w:type="paragraph" w:customStyle="1" w:styleId="326">
    <w:name w:val="Char Char41"/>
    <w:basedOn w:val="1"/>
    <w:qFormat/>
    <w:uiPriority w:val="0"/>
    <w:pPr>
      <w:widowControl/>
      <w:spacing w:line="400" w:lineRule="exact"/>
      <w:jc w:val="center"/>
    </w:pPr>
  </w:style>
  <w:style w:type="paragraph" w:customStyle="1" w:styleId="327">
    <w:name w:val="Char2 Char Char Char Char Char Char1"/>
    <w:basedOn w:val="1"/>
    <w:qFormat/>
    <w:uiPriority w:val="0"/>
    <w:pPr>
      <w:widowControl/>
      <w:spacing w:line="400" w:lineRule="exact"/>
      <w:jc w:val="center"/>
    </w:pPr>
  </w:style>
  <w:style w:type="paragraph" w:customStyle="1" w:styleId="328">
    <w:name w:val="Char Char Char Char Char Char Char Char Char Char2"/>
    <w:basedOn w:val="1"/>
    <w:qFormat/>
    <w:uiPriority w:val="0"/>
    <w:rPr>
      <w:rFonts w:ascii="宋体" w:hAnsi="宋体" w:cs="Courier New"/>
      <w:sz w:val="32"/>
      <w:szCs w:val="32"/>
    </w:rPr>
  </w:style>
  <w:style w:type="paragraph" w:customStyle="1" w:styleId="329">
    <w:name w:val="Char22"/>
    <w:basedOn w:val="1"/>
    <w:qFormat/>
    <w:uiPriority w:val="0"/>
    <w:rPr>
      <w:rFonts w:ascii="Tahoma" w:hAnsi="Tahoma"/>
      <w:sz w:val="24"/>
      <w:szCs w:val="20"/>
    </w:rPr>
  </w:style>
  <w:style w:type="paragraph" w:customStyle="1" w:styleId="330">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331">
    <w:name w:val="Char Char Char Char Char Char Char2"/>
    <w:basedOn w:val="1"/>
    <w:qFormat/>
    <w:uiPriority w:val="0"/>
    <w:pPr>
      <w:spacing w:line="360" w:lineRule="auto"/>
      <w:ind w:firstLine="200"/>
    </w:pPr>
    <w:rPr>
      <w:rFonts w:eastAsia="仿宋_GB2312"/>
      <w:sz w:val="24"/>
    </w:rPr>
  </w:style>
  <w:style w:type="paragraph" w:customStyle="1" w:styleId="332">
    <w:name w:val="Char Char Char2"/>
    <w:basedOn w:val="1"/>
    <w:qFormat/>
    <w:uiPriority w:val="0"/>
    <w:rPr>
      <w:rFonts w:ascii="Tahoma" w:hAnsi="Tahoma"/>
      <w:sz w:val="24"/>
      <w:szCs w:val="20"/>
    </w:rPr>
  </w:style>
  <w:style w:type="paragraph" w:customStyle="1" w:styleId="333">
    <w:name w:val="Char Char Char1 Char2"/>
    <w:basedOn w:val="1"/>
    <w:qFormat/>
    <w:uiPriority w:val="0"/>
    <w:rPr>
      <w:rFonts w:ascii="Tahoma" w:hAnsi="Tahoma"/>
      <w:sz w:val="24"/>
      <w:szCs w:val="20"/>
    </w:rPr>
  </w:style>
  <w:style w:type="paragraph" w:customStyle="1" w:styleId="334">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35">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336">
    <w:name w:val="Char3"/>
    <w:basedOn w:val="1"/>
    <w:qFormat/>
    <w:uiPriority w:val="0"/>
    <w:pPr>
      <w:tabs>
        <w:tab w:val="left" w:pos="360"/>
      </w:tabs>
    </w:pPr>
    <w:rPr>
      <w:sz w:val="24"/>
    </w:rPr>
  </w:style>
  <w:style w:type="paragraph" w:customStyle="1" w:styleId="337">
    <w:name w:val="正文文本缩进2"/>
    <w:basedOn w:val="1"/>
    <w:qFormat/>
    <w:uiPriority w:val="0"/>
    <w:pPr>
      <w:spacing w:line="480" w:lineRule="exact"/>
      <w:ind w:firstLine="480"/>
    </w:pPr>
    <w:rPr>
      <w:rFonts w:ascii="宋体" w:hAnsi="宋体"/>
      <w:sz w:val="24"/>
      <w:lang w:val="zh-CN" w:eastAsia="zh-CN"/>
    </w:rPr>
  </w:style>
  <w:style w:type="paragraph" w:customStyle="1" w:styleId="338">
    <w:name w:val="Char3 Char Char Char2"/>
    <w:basedOn w:val="1"/>
    <w:qFormat/>
    <w:uiPriority w:val="0"/>
    <w:rPr>
      <w:rFonts w:ascii="Tahoma" w:hAnsi="Tahoma"/>
      <w:sz w:val="24"/>
      <w:szCs w:val="20"/>
    </w:rPr>
  </w:style>
  <w:style w:type="paragraph" w:customStyle="1" w:styleId="339">
    <w:name w:val="字元 字元2"/>
    <w:basedOn w:val="1"/>
    <w:qFormat/>
    <w:uiPriority w:val="0"/>
    <w:rPr>
      <w:rFonts w:ascii="Tahoma" w:hAnsi="Tahoma"/>
      <w:sz w:val="24"/>
      <w:szCs w:val="20"/>
    </w:rPr>
  </w:style>
  <w:style w:type="paragraph" w:customStyle="1" w:styleId="340">
    <w:name w:val="正文须知-3级"/>
    <w:basedOn w:val="1"/>
    <w:qFormat/>
    <w:uiPriority w:val="0"/>
    <w:pPr>
      <w:numPr>
        <w:ilvl w:val="2"/>
        <w:numId w:val="1"/>
      </w:numPr>
      <w:spacing w:line="300" w:lineRule="auto"/>
      <w:ind w:hanging="355"/>
    </w:pPr>
    <w:rPr>
      <w:rFonts w:ascii="宋体" w:hAnsi="Calibri"/>
      <w:sz w:val="24"/>
      <w:szCs w:val="21"/>
    </w:rPr>
  </w:style>
  <w:style w:type="paragraph" w:customStyle="1" w:styleId="341">
    <w:name w:val="正文须知-2级"/>
    <w:basedOn w:val="1"/>
    <w:qFormat/>
    <w:uiPriority w:val="0"/>
    <w:pPr>
      <w:numPr>
        <w:ilvl w:val="1"/>
        <w:numId w:val="1"/>
      </w:numPr>
      <w:spacing w:line="300" w:lineRule="auto"/>
    </w:pPr>
    <w:rPr>
      <w:rFonts w:ascii="宋体" w:hAnsi="Calibri"/>
      <w:sz w:val="24"/>
      <w:szCs w:val="21"/>
    </w:rPr>
  </w:style>
  <w:style w:type="paragraph" w:customStyle="1" w:styleId="342">
    <w:name w:val="正文须知-1级"/>
    <w:basedOn w:val="1"/>
    <w:next w:val="1"/>
    <w:qFormat/>
    <w:uiPriority w:val="0"/>
    <w:pPr>
      <w:numPr>
        <w:ilvl w:val="0"/>
        <w:numId w:val="1"/>
      </w:numPr>
      <w:spacing w:line="300" w:lineRule="auto"/>
    </w:pPr>
    <w:rPr>
      <w:rFonts w:ascii="宋体" w:hAnsi="Calibri"/>
      <w:sz w:val="24"/>
      <w:szCs w:val="21"/>
    </w:rPr>
  </w:style>
  <w:style w:type="paragraph" w:customStyle="1" w:styleId="343">
    <w:name w:val="标题1-附件"/>
    <w:basedOn w:val="185"/>
    <w:qFormat/>
    <w:uiPriority w:val="0"/>
    <w:pPr>
      <w:jc w:val="left"/>
    </w:pPr>
    <w:rPr>
      <w:sz w:val="24"/>
      <w:szCs w:val="24"/>
    </w:rPr>
  </w:style>
  <w:style w:type="paragraph" w:customStyle="1" w:styleId="344">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45">
    <w:name w:val="Char3 Char Char Char1"/>
    <w:basedOn w:val="1"/>
    <w:qFormat/>
    <w:uiPriority w:val="0"/>
    <w:rPr>
      <w:rFonts w:ascii="Tahoma" w:hAnsi="Tahoma"/>
      <w:sz w:val="24"/>
      <w:szCs w:val="20"/>
    </w:rPr>
  </w:style>
  <w:style w:type="paragraph" w:customStyle="1" w:styleId="346">
    <w:name w:val="Char Char4"/>
    <w:basedOn w:val="1"/>
    <w:qFormat/>
    <w:uiPriority w:val="0"/>
    <w:pPr>
      <w:widowControl/>
      <w:spacing w:line="400" w:lineRule="exact"/>
      <w:jc w:val="center"/>
    </w:pPr>
  </w:style>
  <w:style w:type="paragraph" w:customStyle="1" w:styleId="347">
    <w:name w:val="Char2 Char Char Char Char Char Char"/>
    <w:basedOn w:val="1"/>
    <w:qFormat/>
    <w:uiPriority w:val="0"/>
    <w:pPr>
      <w:widowControl/>
      <w:spacing w:line="400" w:lineRule="exact"/>
      <w:jc w:val="center"/>
    </w:pPr>
  </w:style>
  <w:style w:type="paragraph" w:customStyle="1" w:styleId="348">
    <w:name w:val="正文文本样式 加粗"/>
    <w:basedOn w:val="349"/>
    <w:qFormat/>
    <w:uiPriority w:val="0"/>
    <w:rPr>
      <w:b/>
    </w:rPr>
  </w:style>
  <w:style w:type="paragraph" w:customStyle="1" w:styleId="349">
    <w:name w:val="正文文本样式"/>
    <w:basedOn w:val="1"/>
    <w:qFormat/>
    <w:uiPriority w:val="0"/>
    <w:pPr>
      <w:spacing w:line="360" w:lineRule="auto"/>
      <w:ind w:firstLine="482"/>
    </w:pPr>
    <w:rPr>
      <w:rFonts w:cs="宋体"/>
      <w:sz w:val="24"/>
      <w:szCs w:val="20"/>
    </w:rPr>
  </w:style>
  <w:style w:type="paragraph" w:customStyle="1" w:styleId="350">
    <w:name w:val="表格文字"/>
    <w:basedOn w:val="217"/>
    <w:qFormat/>
    <w:uiPriority w:val="0"/>
    <w:pPr>
      <w:spacing w:before="20" w:after="20" w:line="240" w:lineRule="auto"/>
      <w:ind w:firstLine="0"/>
    </w:pPr>
    <w:rPr>
      <w:rFonts w:ascii="Century Gothic" w:hAnsi="Century Gothic"/>
      <w:sz w:val="20"/>
      <w:szCs w:val="20"/>
    </w:rPr>
  </w:style>
  <w:style w:type="paragraph" w:customStyle="1" w:styleId="351">
    <w:name w:val="项目编号3"/>
    <w:basedOn w:val="349"/>
    <w:qFormat/>
    <w:uiPriority w:val="0"/>
    <w:pPr>
      <w:numPr>
        <w:ilvl w:val="0"/>
        <w:numId w:val="2"/>
      </w:numPr>
    </w:pPr>
  </w:style>
  <w:style w:type="paragraph" w:customStyle="1" w:styleId="352">
    <w:name w:val="字元 字元1"/>
    <w:basedOn w:val="1"/>
    <w:qFormat/>
    <w:uiPriority w:val="0"/>
    <w:rPr>
      <w:rFonts w:ascii="Tahoma" w:hAnsi="Tahoma"/>
      <w:sz w:val="24"/>
      <w:szCs w:val="20"/>
    </w:rPr>
  </w:style>
  <w:style w:type="paragraph" w:customStyle="1" w:styleId="353">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54">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55">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56">
    <w:name w:val="样式2"/>
    <w:basedOn w:val="247"/>
    <w:qFormat/>
    <w:uiPriority w:val="0"/>
    <w:pPr>
      <w:spacing w:line="360" w:lineRule="auto"/>
      <w:jc w:val="center"/>
    </w:pPr>
    <w:rPr>
      <w:sz w:val="24"/>
    </w:rPr>
  </w:style>
  <w:style w:type="paragraph" w:customStyle="1" w:styleId="357">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58">
    <w:name w:val="Char Char Char Char Char Char Char1"/>
    <w:basedOn w:val="1"/>
    <w:qFormat/>
    <w:uiPriority w:val="0"/>
    <w:pPr>
      <w:spacing w:line="360" w:lineRule="auto"/>
      <w:ind w:firstLine="200"/>
    </w:pPr>
    <w:rPr>
      <w:rFonts w:eastAsia="仿宋_GB2312"/>
      <w:sz w:val="24"/>
    </w:rPr>
  </w:style>
  <w:style w:type="paragraph" w:customStyle="1" w:styleId="359">
    <w:name w:val="Char Char Char1"/>
    <w:basedOn w:val="1"/>
    <w:qFormat/>
    <w:uiPriority w:val="0"/>
    <w:rPr>
      <w:rFonts w:ascii="Tahoma" w:hAnsi="Tahoma"/>
      <w:sz w:val="24"/>
      <w:szCs w:val="20"/>
    </w:rPr>
  </w:style>
  <w:style w:type="paragraph" w:customStyle="1" w:styleId="360">
    <w:name w:val="缺省文本"/>
    <w:basedOn w:val="1"/>
    <w:qFormat/>
    <w:uiPriority w:val="0"/>
    <w:pPr>
      <w:jc w:val="left"/>
    </w:pPr>
    <w:rPr>
      <w:sz w:val="24"/>
    </w:rPr>
  </w:style>
  <w:style w:type="paragraph" w:customStyle="1" w:styleId="361">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62">
    <w:name w:val="Char Char Char"/>
    <w:basedOn w:val="1"/>
    <w:qFormat/>
    <w:uiPriority w:val="0"/>
    <w:rPr>
      <w:rFonts w:ascii="Tahoma" w:hAnsi="Tahoma"/>
      <w:sz w:val="24"/>
      <w:szCs w:val="20"/>
    </w:rPr>
  </w:style>
  <w:style w:type="paragraph" w:customStyle="1" w:styleId="363">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64">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65">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66">
    <w:name w:val="默认段落字体 Para Char Char Char Char"/>
    <w:basedOn w:val="1"/>
    <w:qFormat/>
    <w:uiPriority w:val="0"/>
    <w:rPr>
      <w:rFonts w:ascii="Arial" w:hAnsi="Arial" w:cs="Arial"/>
      <w:szCs w:val="21"/>
    </w:rPr>
  </w:style>
  <w:style w:type="paragraph" w:customStyle="1" w:styleId="367">
    <w:name w:val="_Style 160"/>
    <w:qFormat/>
    <w:uiPriority w:val="0"/>
    <w:rPr>
      <w:rFonts w:hint="default" w:ascii="Times New Roman" w:hAnsi="Times New Roman" w:eastAsia="宋体" w:cs="Times New Roman"/>
      <w:sz w:val="21"/>
      <w:szCs w:val="24"/>
      <w:lang w:val="en-US" w:eastAsia="zh-CN" w:bidi="ar-SA"/>
    </w:rPr>
  </w:style>
  <w:style w:type="paragraph" w:customStyle="1" w:styleId="368">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9">
    <w:name w:val="正文列项_字母"/>
    <w:basedOn w:val="1"/>
    <w:qFormat/>
    <w:uiPriority w:val="0"/>
    <w:pPr>
      <w:numPr>
        <w:ilvl w:val="6"/>
        <w:numId w:val="3"/>
      </w:numPr>
      <w:tabs>
        <w:tab w:val="clear" w:pos="635"/>
      </w:tabs>
      <w:spacing w:line="460" w:lineRule="exact"/>
      <w:ind w:left="480" w:hanging="180"/>
      <w:outlineLvl w:val="6"/>
    </w:pPr>
    <w:rPr>
      <w:rFonts w:ascii="宋体"/>
      <w:sz w:val="28"/>
      <w:szCs w:val="20"/>
    </w:rPr>
  </w:style>
  <w:style w:type="paragraph" w:customStyle="1" w:styleId="370">
    <w:name w:val="Default"/>
    <w:qFormat/>
    <w:uiPriority w:val="0"/>
    <w:pPr>
      <w:widowControl w:val="0"/>
    </w:pPr>
    <w:rPr>
      <w:rFonts w:hint="default" w:ascii="Symbol" w:hAnsi="Symbol" w:eastAsia="宋体" w:cs="Symbol"/>
      <w:color w:val="000000"/>
      <w:sz w:val="24"/>
      <w:szCs w:val="24"/>
      <w:lang w:val="en-US" w:eastAsia="zh-CN" w:bidi="ar-SA"/>
    </w:rPr>
  </w:style>
  <w:style w:type="paragraph" w:customStyle="1" w:styleId="371">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72">
    <w:name w:val="1名"/>
    <w:basedOn w:val="1"/>
    <w:qFormat/>
    <w:uiPriority w:val="0"/>
    <w:pPr>
      <w:numPr>
        <w:ilvl w:val="0"/>
        <w:numId w:val="4"/>
      </w:numPr>
      <w:spacing w:before="120"/>
    </w:pPr>
    <w:rPr>
      <w:rFonts w:ascii="宋体"/>
      <w:sz w:val="28"/>
      <w:szCs w:val="20"/>
    </w:rPr>
  </w:style>
  <w:style w:type="paragraph" w:customStyle="1" w:styleId="373">
    <w:name w:val="Char Char Char1 Char"/>
    <w:basedOn w:val="1"/>
    <w:qFormat/>
    <w:uiPriority w:val="0"/>
    <w:rPr>
      <w:rFonts w:ascii="Tahoma" w:hAnsi="Tahoma"/>
      <w:sz w:val="24"/>
      <w:szCs w:val="20"/>
    </w:rPr>
  </w:style>
  <w:style w:type="paragraph" w:customStyle="1" w:styleId="374">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75">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76">
    <w:name w:val="文档正文"/>
    <w:basedOn w:val="1"/>
    <w:qFormat/>
    <w:uiPriority w:val="0"/>
    <w:pPr>
      <w:spacing w:before="120" w:after="120" w:line="180" w:lineRule="auto"/>
    </w:pPr>
    <w:rPr>
      <w:rFonts w:ascii="Arial" w:hAnsi="Arial"/>
      <w:szCs w:val="20"/>
    </w:rPr>
  </w:style>
  <w:style w:type="paragraph" w:customStyle="1" w:styleId="377">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78">
    <w:name w:val="五级条标题"/>
    <w:basedOn w:val="379"/>
    <w:next w:val="1"/>
    <w:qFormat/>
    <w:uiPriority w:val="0"/>
    <w:pPr>
      <w:numPr>
        <w:ilvl w:val="5"/>
      </w:numPr>
      <w:tabs>
        <w:tab w:val="left" w:pos="360"/>
        <w:tab w:val="left" w:pos="840"/>
      </w:tabs>
      <w:ind w:left="0" w:hanging="840"/>
      <w:outlineLvl w:val="5"/>
    </w:pPr>
  </w:style>
  <w:style w:type="paragraph" w:customStyle="1" w:styleId="379">
    <w:name w:val="四级条标题"/>
    <w:basedOn w:val="380"/>
    <w:next w:val="1"/>
    <w:qFormat/>
    <w:uiPriority w:val="0"/>
    <w:pPr>
      <w:numPr>
        <w:ilvl w:val="4"/>
      </w:numPr>
      <w:tabs>
        <w:tab w:val="left" w:pos="360"/>
        <w:tab w:val="left" w:pos="840"/>
      </w:tabs>
      <w:ind w:left="0" w:hanging="840"/>
      <w:outlineLvl w:val="4"/>
    </w:pPr>
  </w:style>
  <w:style w:type="paragraph" w:customStyle="1" w:styleId="380">
    <w:name w:val="三级条标题"/>
    <w:basedOn w:val="381"/>
    <w:next w:val="1"/>
    <w:qFormat/>
    <w:uiPriority w:val="0"/>
    <w:pPr>
      <w:numPr>
        <w:ilvl w:val="3"/>
        <w:numId w:val="3"/>
      </w:numPr>
      <w:tabs>
        <w:tab w:val="left" w:pos="360"/>
        <w:tab w:val="left" w:pos="840"/>
      </w:tabs>
      <w:ind w:left="0" w:hanging="840"/>
      <w:outlineLvl w:val="3"/>
    </w:pPr>
  </w:style>
  <w:style w:type="paragraph" w:customStyle="1" w:styleId="381">
    <w:name w:val="二级条标题"/>
    <w:basedOn w:val="382"/>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382">
    <w:name w:val="一级条标题"/>
    <w:basedOn w:val="383"/>
    <w:next w:val="1"/>
    <w:qFormat/>
    <w:uiPriority w:val="0"/>
    <w:pPr>
      <w:numPr>
        <w:ilvl w:val="1"/>
      </w:numPr>
      <w:tabs>
        <w:tab w:val="left" w:pos="360"/>
        <w:tab w:val="left" w:pos="840"/>
      </w:tabs>
      <w:ind w:left="0" w:hanging="840"/>
      <w:outlineLvl w:val="1"/>
    </w:pPr>
  </w:style>
  <w:style w:type="paragraph" w:customStyle="1" w:styleId="383">
    <w:name w:val="章标题"/>
    <w:next w:val="1"/>
    <w:qFormat/>
    <w:uiPriority w:val="0"/>
    <w:pPr>
      <w:numPr>
        <w:ilvl w:val="0"/>
        <w:numId w:val="3"/>
      </w:numPr>
      <w:spacing w:line="460" w:lineRule="exact"/>
      <w:ind w:left="0"/>
      <w:jc w:val="both"/>
      <w:outlineLvl w:val="0"/>
    </w:pPr>
    <w:rPr>
      <w:rFonts w:hint="default" w:ascii="黑体" w:hAnsi="Times New Roman" w:eastAsia="黑体" w:cs="Times New Roman"/>
      <w:b/>
      <w:sz w:val="28"/>
      <w:lang w:val="en-US" w:eastAsia="zh-CN" w:bidi="ar-SA"/>
    </w:rPr>
  </w:style>
  <w:style w:type="paragraph" w:customStyle="1" w:styleId="384">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85">
    <w:name w:val="项目符号1"/>
    <w:basedOn w:val="349"/>
    <w:qFormat/>
    <w:uiPriority w:val="0"/>
    <w:pPr>
      <w:ind w:left="-25" w:firstLine="0"/>
    </w:pPr>
  </w:style>
  <w:style w:type="paragraph" w:customStyle="1" w:styleId="386">
    <w:name w:val="List Paragraph1"/>
    <w:basedOn w:val="1"/>
    <w:qFormat/>
    <w:uiPriority w:val="0"/>
    <w:pPr>
      <w:ind w:firstLine="420"/>
    </w:pPr>
    <w:rPr>
      <w:rFonts w:ascii="Calibri" w:hAnsi="Calibri"/>
      <w:szCs w:val="22"/>
    </w:rPr>
  </w:style>
  <w:style w:type="paragraph" w:customStyle="1" w:styleId="387">
    <w:name w:val="样式 标题 2 + 宋体 五号 行距: 单倍行距"/>
    <w:basedOn w:val="186"/>
    <w:qFormat/>
    <w:uiPriority w:val="0"/>
    <w:pPr>
      <w:numPr>
        <w:ilvl w:val="1"/>
        <w:numId w:val="5"/>
      </w:numPr>
      <w:spacing w:before="260" w:after="260" w:line="240" w:lineRule="auto"/>
      <w:jc w:val="left"/>
    </w:pPr>
    <w:rPr>
      <w:rFonts w:ascii="宋体" w:hAnsi="宋体" w:eastAsia="宋体"/>
      <w:bCs/>
      <w:sz w:val="21"/>
    </w:rPr>
  </w:style>
  <w:style w:type="paragraph" w:customStyle="1" w:styleId="388">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389">
    <w:name w:val="Char1"/>
    <w:basedOn w:val="1"/>
    <w:qFormat/>
    <w:uiPriority w:val="0"/>
    <w:pPr>
      <w:tabs>
        <w:tab w:val="left" w:pos="360"/>
      </w:tabs>
    </w:pPr>
    <w:rPr>
      <w:sz w:val="24"/>
    </w:rPr>
  </w:style>
  <w:style w:type="paragraph" w:customStyle="1" w:styleId="390">
    <w:name w:val="Char1 Char Char Char1"/>
    <w:basedOn w:val="1"/>
    <w:qFormat/>
    <w:uiPriority w:val="0"/>
    <w:rPr>
      <w:rFonts w:ascii="Tahoma" w:hAnsi="Tahoma" w:cs="仿宋_GB2312"/>
      <w:sz w:val="24"/>
      <w:szCs w:val="28"/>
    </w:rPr>
  </w:style>
  <w:style w:type="paragraph" w:customStyle="1" w:styleId="391">
    <w:name w:val="1 Char Char Char Char"/>
    <w:basedOn w:val="1"/>
    <w:qFormat/>
    <w:uiPriority w:val="0"/>
    <w:rPr>
      <w:rFonts w:ascii="Tahoma" w:hAnsi="Tahoma"/>
      <w:sz w:val="24"/>
      <w:szCs w:val="20"/>
    </w:rPr>
  </w:style>
  <w:style w:type="paragraph" w:customStyle="1" w:styleId="392">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93">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94">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95">
    <w:name w:val="Char Char1"/>
    <w:basedOn w:val="210"/>
    <w:qFormat/>
    <w:uiPriority w:val="0"/>
    <w:rPr>
      <w:rFonts w:ascii="Tahoma" w:hAnsi="Tahoma"/>
      <w:sz w:val="24"/>
    </w:rPr>
  </w:style>
  <w:style w:type="paragraph" w:customStyle="1" w:styleId="396">
    <w:name w:val="Char21"/>
    <w:basedOn w:val="1"/>
    <w:qFormat/>
    <w:uiPriority w:val="0"/>
    <w:rPr>
      <w:rFonts w:ascii="Tahoma" w:hAnsi="Tahoma"/>
      <w:sz w:val="24"/>
      <w:szCs w:val="20"/>
    </w:rPr>
  </w:style>
  <w:style w:type="paragraph" w:customStyle="1" w:styleId="397">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98">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99">
    <w:name w:val="Table Paragraph"/>
    <w:basedOn w:val="1"/>
    <w:qFormat/>
    <w:uiPriority w:val="1"/>
    <w:pPr>
      <w:jc w:val="left"/>
    </w:pPr>
    <w:rPr>
      <w:rFonts w:ascii="宋体" w:hAnsi="宋体" w:cs="宋体"/>
      <w:sz w:val="22"/>
      <w:szCs w:val="22"/>
      <w:lang w:eastAsia="en-US"/>
    </w:rPr>
  </w:style>
  <w:style w:type="paragraph" w:customStyle="1" w:styleId="400">
    <w:name w:val="Char Char Char Char Char Char Char Char Char Char1"/>
    <w:basedOn w:val="1"/>
    <w:qFormat/>
    <w:uiPriority w:val="0"/>
    <w:rPr>
      <w:rFonts w:ascii="宋体" w:hAnsi="宋体" w:cs="Courier New"/>
      <w:sz w:val="32"/>
      <w:szCs w:val="32"/>
    </w:rPr>
  </w:style>
  <w:style w:type="paragraph" w:customStyle="1" w:styleId="401">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402">
    <w:name w:val="Char"/>
    <w:basedOn w:val="1"/>
    <w:qFormat/>
    <w:uiPriority w:val="0"/>
    <w:pPr>
      <w:tabs>
        <w:tab w:val="left" w:pos="360"/>
      </w:tabs>
    </w:pPr>
    <w:rPr>
      <w:sz w:val="24"/>
    </w:rPr>
  </w:style>
  <w:style w:type="paragraph" w:customStyle="1" w:styleId="403">
    <w:name w:val="font8"/>
    <w:basedOn w:val="1"/>
    <w:qFormat/>
    <w:uiPriority w:val="0"/>
    <w:pPr>
      <w:widowControl/>
      <w:spacing w:before="100" w:beforeAutospacing="1" w:after="100" w:afterAutospacing="1"/>
      <w:jc w:val="left"/>
    </w:pPr>
    <w:rPr>
      <w:sz w:val="36"/>
      <w:szCs w:val="36"/>
    </w:rPr>
  </w:style>
  <w:style w:type="paragraph" w:customStyle="1" w:styleId="404">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405">
    <w:name w:val="Char Char Char Char Char Char Char Char Char Char"/>
    <w:basedOn w:val="1"/>
    <w:qFormat/>
    <w:uiPriority w:val="0"/>
  </w:style>
  <w:style w:type="paragraph" w:customStyle="1" w:styleId="406">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407">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408">
    <w:name w:val="正文列项_数字"/>
    <w:basedOn w:val="1"/>
    <w:qFormat/>
    <w:uiPriority w:val="0"/>
    <w:pPr>
      <w:numPr>
        <w:ilvl w:val="7"/>
        <w:numId w:val="3"/>
      </w:numPr>
      <w:tabs>
        <w:tab w:val="clear" w:pos="860"/>
      </w:tabs>
      <w:spacing w:line="460" w:lineRule="exact"/>
      <w:ind w:left="680" w:hanging="150"/>
      <w:outlineLvl w:val="7"/>
    </w:pPr>
    <w:rPr>
      <w:rFonts w:ascii="宋体"/>
      <w:sz w:val="28"/>
      <w:szCs w:val="20"/>
    </w:rPr>
  </w:style>
  <w:style w:type="paragraph" w:customStyle="1" w:styleId="409">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410">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411">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412">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413">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414">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415">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416">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417">
    <w:name w:val="Char Char Char Char Char Char Char"/>
    <w:basedOn w:val="1"/>
    <w:qFormat/>
    <w:uiPriority w:val="0"/>
    <w:pPr>
      <w:spacing w:line="360" w:lineRule="auto"/>
      <w:ind w:firstLine="200"/>
    </w:pPr>
    <w:rPr>
      <w:rFonts w:eastAsia="仿宋_GB2312"/>
      <w:sz w:val="24"/>
    </w:rPr>
  </w:style>
  <w:style w:type="paragraph" w:customStyle="1" w:styleId="418">
    <w:name w:val="Char2"/>
    <w:basedOn w:val="1"/>
    <w:qFormat/>
    <w:uiPriority w:val="0"/>
    <w:rPr>
      <w:rFonts w:ascii="Tahoma" w:hAnsi="Tahoma"/>
      <w:sz w:val="24"/>
      <w:szCs w:val="20"/>
    </w:rPr>
  </w:style>
  <w:style w:type="paragraph" w:customStyle="1" w:styleId="419">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420">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421">
    <w:name w:val="图中文字"/>
    <w:basedOn w:val="1"/>
    <w:qFormat/>
    <w:uiPriority w:val="0"/>
    <w:pPr>
      <w:spacing w:line="0" w:lineRule="atLeast"/>
      <w:jc w:val="center"/>
    </w:pPr>
    <w:rPr>
      <w:sz w:val="24"/>
      <w:szCs w:val="20"/>
    </w:rPr>
  </w:style>
  <w:style w:type="paragraph" w:customStyle="1" w:styleId="422">
    <w:name w:val="图文"/>
    <w:basedOn w:val="1"/>
    <w:qFormat/>
    <w:uiPriority w:val="0"/>
    <w:pPr>
      <w:spacing w:after="50" w:line="360" w:lineRule="auto"/>
    </w:pPr>
    <w:rPr>
      <w:sz w:val="24"/>
    </w:rPr>
  </w:style>
  <w:style w:type="paragraph" w:customStyle="1" w:styleId="423">
    <w:name w:val="项目编号2"/>
    <w:basedOn w:val="424"/>
    <w:qFormat/>
    <w:uiPriority w:val="0"/>
    <w:pPr>
      <w:numPr>
        <w:numId w:val="6"/>
      </w:numPr>
    </w:pPr>
  </w:style>
  <w:style w:type="paragraph" w:customStyle="1" w:styleId="424">
    <w:name w:val="项目编号1"/>
    <w:basedOn w:val="1"/>
    <w:qFormat/>
    <w:uiPriority w:val="0"/>
    <w:pPr>
      <w:numPr>
        <w:ilvl w:val="0"/>
        <w:numId w:val="7"/>
      </w:numPr>
      <w:spacing w:before="100" w:beforeAutospacing="1" w:after="100" w:afterAutospacing="1" w:line="360" w:lineRule="auto"/>
    </w:pPr>
    <w:rPr>
      <w:sz w:val="24"/>
    </w:rPr>
  </w:style>
  <w:style w:type="paragraph" w:customStyle="1" w:styleId="425">
    <w:name w:val="Revision"/>
    <w:qFormat/>
    <w:uiPriority w:val="0"/>
    <w:rPr>
      <w:rFonts w:hint="default" w:ascii="Times New Roman" w:hAnsi="Times New Roman" w:eastAsia="宋体" w:cs="Times New Roman"/>
      <w:sz w:val="21"/>
      <w:szCs w:val="24"/>
      <w:lang w:val="en-US" w:eastAsia="zh-CN" w:bidi="ar-SA"/>
    </w:rPr>
  </w:style>
  <w:style w:type="paragraph" w:customStyle="1" w:styleId="426">
    <w:name w:val="22222222222222"/>
    <w:basedOn w:val="1"/>
    <w:qFormat/>
    <w:uiPriority w:val="0"/>
    <w:pPr>
      <w:widowControl/>
      <w:spacing w:line="360" w:lineRule="auto"/>
      <w:ind w:firstLine="480"/>
      <w:jc w:val="left"/>
    </w:pPr>
    <w:rPr>
      <w:color w:val="FF0000"/>
      <w:sz w:val="24"/>
      <w:szCs w:val="20"/>
    </w:rPr>
  </w:style>
  <w:style w:type="paragraph" w:customStyle="1" w:styleId="427">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428">
    <w:name w:val="字元 字元"/>
    <w:basedOn w:val="1"/>
    <w:qFormat/>
    <w:uiPriority w:val="0"/>
    <w:rPr>
      <w:rFonts w:ascii="Tahoma" w:hAnsi="Tahoma"/>
      <w:sz w:val="24"/>
      <w:szCs w:val="20"/>
    </w:rPr>
  </w:style>
  <w:style w:type="paragraph" w:customStyle="1" w:styleId="429">
    <w:name w:val="无标题条"/>
    <w:next w:val="1"/>
    <w:qFormat/>
    <w:uiPriority w:val="0"/>
    <w:pPr>
      <w:jc w:val="both"/>
    </w:pPr>
    <w:rPr>
      <w:rFonts w:hint="default" w:ascii="Times New Roman" w:hAnsi="Times New Roman" w:eastAsia="宋体" w:cs="Times New Roman"/>
      <w:sz w:val="21"/>
      <w:lang w:val="en-US" w:eastAsia="zh-CN" w:bidi="ar-SA"/>
    </w:rPr>
  </w:style>
  <w:style w:type="paragraph" w:customStyle="1" w:styleId="430">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431">
    <w:name w:val="列出段落1"/>
    <w:basedOn w:val="1"/>
    <w:qFormat/>
    <w:uiPriority w:val="0"/>
    <w:pPr>
      <w:ind w:firstLine="420"/>
    </w:pPr>
    <w:rPr>
      <w:rFonts w:ascii="Calibri" w:hAnsi="Calibri"/>
      <w:szCs w:val="22"/>
    </w:rPr>
  </w:style>
  <w:style w:type="paragraph" w:customStyle="1" w:styleId="432">
    <w:name w:val="列出段落2"/>
    <w:basedOn w:val="1"/>
    <w:qFormat/>
    <w:uiPriority w:val="0"/>
    <w:pPr>
      <w:ind w:firstLine="420"/>
    </w:pPr>
    <w:rPr>
      <w:rFonts w:ascii="Calibri" w:hAnsi="Calibri"/>
      <w:szCs w:val="22"/>
    </w:rPr>
  </w:style>
  <w:style w:type="paragraph" w:customStyle="1" w:styleId="433">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434">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435">
    <w:name w:val="表格1"/>
    <w:basedOn w:val="1"/>
    <w:qFormat/>
    <w:uiPriority w:val="0"/>
    <w:pPr>
      <w:ind w:firstLine="480"/>
      <w:jc w:val="center"/>
    </w:pPr>
    <w:rPr>
      <w:sz w:val="24"/>
      <w:szCs w:val="20"/>
    </w:rPr>
  </w:style>
  <w:style w:type="paragraph" w:customStyle="1" w:styleId="436">
    <w:name w:val="Char Char Char1 Char1"/>
    <w:basedOn w:val="1"/>
    <w:qFormat/>
    <w:uiPriority w:val="0"/>
    <w:rPr>
      <w:rFonts w:ascii="Tahoma" w:hAnsi="Tahoma"/>
      <w:sz w:val="24"/>
      <w:szCs w:val="20"/>
    </w:rPr>
  </w:style>
  <w:style w:type="paragraph" w:customStyle="1" w:styleId="437">
    <w:name w:val="正文 + 楷体_GB2312"/>
    <w:basedOn w:val="1"/>
    <w:qFormat/>
    <w:uiPriority w:val="0"/>
    <w:pPr>
      <w:widowControl/>
      <w:jc w:val="left"/>
    </w:pPr>
    <w:rPr>
      <w:rFonts w:ascii="楷体_GB2312" w:eastAsia="楷体_GB2312" w:cs="Arial"/>
      <w:sz w:val="24"/>
    </w:rPr>
  </w:style>
  <w:style w:type="paragraph" w:customStyle="1" w:styleId="438">
    <w:name w:val="样式 宋体 五号 行距: 单倍行距"/>
    <w:basedOn w:val="1"/>
    <w:qFormat/>
    <w:uiPriority w:val="0"/>
    <w:pPr>
      <w:jc w:val="left"/>
    </w:pPr>
    <w:rPr>
      <w:rFonts w:ascii="宋体" w:hAnsi="宋体"/>
      <w:szCs w:val="20"/>
    </w:rPr>
  </w:style>
  <w:style w:type="paragraph" w:customStyle="1" w:styleId="439">
    <w:name w:val="Char3 Char Char Char"/>
    <w:basedOn w:val="1"/>
    <w:qFormat/>
    <w:uiPriority w:val="0"/>
    <w:rPr>
      <w:rFonts w:ascii="Tahoma" w:hAnsi="Tahoma"/>
      <w:sz w:val="24"/>
      <w:szCs w:val="20"/>
    </w:rPr>
  </w:style>
  <w:style w:type="paragraph" w:customStyle="1" w:styleId="440">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441">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442">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43">
    <w:name w:val="xl23"/>
    <w:basedOn w:val="1"/>
    <w:qFormat/>
    <w:uiPriority w:val="0"/>
    <w:pPr>
      <w:widowControl/>
      <w:spacing w:before="100" w:beforeAutospacing="1" w:after="100" w:afterAutospacing="1" w:line="360" w:lineRule="auto"/>
    </w:pPr>
    <w:rPr>
      <w:sz w:val="24"/>
      <w:szCs w:val="20"/>
    </w:rPr>
  </w:style>
  <w:style w:type="table" w:customStyle="1" w:styleId="444">
    <w:name w:val="Table Normal"/>
    <w:semiHidden/>
    <w:qFormat/>
    <w:uiPriority w:val="2"/>
    <w:pPr>
      <w:widowControl w:val="0"/>
    </w:pPr>
    <w:rPr>
      <w:rFonts w:ascii="Calibri" w:hAnsi="Calibri"/>
      <w:sz w:val="22"/>
      <w:szCs w:val="22"/>
      <w:lang w:val="en-US" w:eastAsia="en-US" w:bidi="ar-SA"/>
    </w:rPr>
  </w:style>
  <w:style w:type="paragraph" w:customStyle="1" w:styleId="445">
    <w:name w:val="正文_1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446">
    <w:name w:val="正文首行缩进 21"/>
    <w:basedOn w:val="447"/>
    <w:next w:val="1"/>
    <w:qFormat/>
    <w:uiPriority w:val="0"/>
    <w:pPr>
      <w:spacing w:after="120" w:line="480" w:lineRule="exact"/>
      <w:ind w:left="420" w:firstLine="420"/>
    </w:pPr>
    <w:rPr>
      <w:szCs w:val="20"/>
    </w:rPr>
  </w:style>
  <w:style w:type="paragraph" w:customStyle="1" w:styleId="447">
    <w:name w:val="正文文本缩进11"/>
    <w:basedOn w:val="1"/>
    <w:next w:val="301"/>
    <w:qFormat/>
    <w:uiPriority w:val="0"/>
    <w:pPr>
      <w:spacing w:line="360" w:lineRule="auto"/>
      <w:ind w:firstLine="570"/>
    </w:pPr>
    <w:rPr>
      <w:sz w:val="24"/>
    </w:rPr>
  </w:style>
  <w:style w:type="paragraph" w:customStyle="1" w:styleId="448">
    <w:name w:val="段"/>
    <w:next w:val="1"/>
    <w:qFormat/>
    <w:uiPriority w:val="0"/>
    <w:pPr>
      <w:ind w:firstLine="200"/>
      <w:jc w:val="both"/>
    </w:pPr>
    <w:rPr>
      <w:rFonts w:hint="default" w:ascii="宋体" w:hAnsi="Times New Roman" w:eastAsia="Times New Roman" w:cs="Times New Roman"/>
      <w:sz w:val="21"/>
      <w:lang w:val="en-US" w:eastAsia="zh-CN" w:bidi="ar-SA"/>
    </w:rPr>
  </w:style>
  <w:style w:type="paragraph" w:customStyle="1" w:styleId="449">
    <w:name w:val="标题 31"/>
    <w:basedOn w:val="1"/>
    <w:next w:val="1"/>
    <w:qFormat/>
    <w:uiPriority w:val="0"/>
    <w:pPr>
      <w:keepNext/>
      <w:keepLines/>
      <w:spacing w:before="360" w:after="120"/>
      <w:jc w:val="left"/>
      <w:outlineLvl w:val="2"/>
    </w:pPr>
    <w:rPr>
      <w:rFonts w:ascii="宋体"/>
      <w:b/>
      <w:sz w:val="24"/>
      <w:szCs w:val="20"/>
      <w:u w:val="single"/>
    </w:rPr>
  </w:style>
  <w:style w:type="character" w:customStyle="1" w:styleId="450">
    <w:name w:val="font11"/>
    <w:basedOn w:val="195"/>
    <w:link w:val="1"/>
    <w:qFormat/>
    <w:uiPriority w:val="0"/>
    <w:rPr>
      <w:rFonts w:hint="eastAsia" w:ascii="宋体" w:hAnsi="宋体" w:eastAsia="宋体" w:cs="宋体"/>
      <w:color w:val="000000"/>
      <w:sz w:val="24"/>
      <w:szCs w:val="24"/>
      <w:u w:val="none"/>
    </w:rPr>
  </w:style>
  <w:style w:type="character" w:customStyle="1" w:styleId="451">
    <w:name w:val="font01"/>
    <w:basedOn w:val="195"/>
    <w:link w:val="1"/>
    <w:qFormat/>
    <w:uiPriority w:val="0"/>
    <w:rPr>
      <w:rFonts w:hint="eastAsia" w:ascii="宋体" w:hAnsi="宋体" w:eastAsia="宋体" w:cs="宋体"/>
      <w:color w:val="000000"/>
      <w:sz w:val="24"/>
      <w:szCs w:val="24"/>
      <w:u w:val="none"/>
    </w:rPr>
  </w:style>
  <w:style w:type="paragraph" w:customStyle="1" w:styleId="452">
    <w:name w:val="正文111"/>
    <w:next w:val="29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53">
    <w:name w:val="首行缩进"/>
    <w:basedOn w:val="1"/>
    <w:qFormat/>
    <w:uiPriority w:val="0"/>
    <w:pPr>
      <w:spacing w:line="360" w:lineRule="auto"/>
      <w:ind w:firstLine="480"/>
      <w:jc w:val="left"/>
    </w:pPr>
    <w:rPr>
      <w:rFonts w:ascii="宋体" w:hAnsi="宋体"/>
      <w:sz w:val="24"/>
    </w:rPr>
  </w:style>
  <w:style w:type="paragraph" w:customStyle="1" w:styleId="454">
    <w:name w:val="一、"/>
    <w:basedOn w:val="1"/>
    <w:qFormat/>
    <w:uiPriority w:val="0"/>
    <w:pPr>
      <w:ind w:firstLine="640"/>
    </w:pPr>
    <w:rPr>
      <w:rFonts w:eastAsia="黑体"/>
      <w:szCs w:val="32"/>
    </w:rPr>
  </w:style>
  <w:style w:type="character" w:customStyle="1" w:styleId="455">
    <w:name w:val="hour_pm"/>
    <w:basedOn w:val="195"/>
    <w:link w:val="1"/>
    <w:qFormat/>
    <w:uiPriority w:val="0"/>
  </w:style>
  <w:style w:type="character" w:customStyle="1" w:styleId="456">
    <w:name w:val="hover"/>
    <w:basedOn w:val="195"/>
    <w:link w:val="1"/>
    <w:qFormat/>
    <w:uiPriority w:val="0"/>
    <w:rPr>
      <w:shd w:val="clear" w:color="auto" w:fill="EEEEEE"/>
    </w:rPr>
  </w:style>
  <w:style w:type="character" w:customStyle="1" w:styleId="457">
    <w:name w:val="hour_am"/>
    <w:basedOn w:val="195"/>
    <w:link w:val="1"/>
    <w:qFormat/>
    <w:uiPriority w:val="0"/>
  </w:style>
  <w:style w:type="character" w:customStyle="1" w:styleId="458">
    <w:name w:val="old"/>
    <w:basedOn w:val="195"/>
    <w:link w:val="1"/>
    <w:qFormat/>
    <w:uiPriority w:val="0"/>
    <w:rPr>
      <w:color w:val="999999"/>
    </w:rPr>
  </w:style>
  <w:style w:type="character" w:customStyle="1" w:styleId="459">
    <w:name w:val="glyphicon"/>
    <w:basedOn w:val="195"/>
    <w:link w:val="1"/>
    <w:qFormat/>
    <w:uiPriority w:val="0"/>
  </w:style>
  <w:style w:type="paragraph" w:customStyle="1" w:styleId="460">
    <w:name w:val="普通(网站)1"/>
    <w:basedOn w:val="1"/>
    <w:unhideWhenUsed/>
    <w:qFormat/>
    <w:uiPriority w:val="99"/>
    <w:pPr>
      <w:widowControl/>
      <w:spacing w:before="100" w:beforeAutospacing="1" w:after="100" w:afterAutospacing="1"/>
      <w:jc w:val="left"/>
    </w:pPr>
    <w:rPr>
      <w:rFonts w:ascii="宋体" w:hAnsi="宋体" w:cs="宋体"/>
      <w:sz w:val="24"/>
    </w:rPr>
  </w:style>
  <w:style w:type="character" w:customStyle="1" w:styleId="461">
    <w:name w:val="font21"/>
    <w:basedOn w:val="195"/>
    <w:link w:val="1"/>
    <w:qFormat/>
    <w:uiPriority w:val="0"/>
    <w:rPr>
      <w:rFonts w:hint="eastAsia" w:ascii="宋体" w:hAnsi="宋体" w:eastAsia="宋体" w:cs="宋体"/>
      <w:b/>
      <w:bCs/>
      <w:color w:val="000000"/>
      <w:sz w:val="22"/>
      <w:szCs w:val="22"/>
      <w:u w:val="none"/>
    </w:rPr>
  </w:style>
  <w:style w:type="character" w:customStyle="1" w:styleId="462">
    <w:name w:val="font91"/>
    <w:basedOn w:val="195"/>
    <w:link w:val="1"/>
    <w:qFormat/>
    <w:uiPriority w:val="0"/>
    <w:rPr>
      <w:rFonts w:ascii="Times New Roman" w:hAnsi="Times New Roman" w:cs="Times New Roman"/>
      <w:b/>
      <w:bCs/>
      <w:color w:val="000000"/>
      <w:sz w:val="22"/>
      <w:szCs w:val="22"/>
      <w:u w:val="none"/>
    </w:rPr>
  </w:style>
  <w:style w:type="character" w:customStyle="1" w:styleId="463">
    <w:name w:val="font81"/>
    <w:basedOn w:val="195"/>
    <w:link w:val="1"/>
    <w:qFormat/>
    <w:uiPriority w:val="0"/>
    <w:rPr>
      <w:rFonts w:ascii="Times New Roman" w:hAnsi="Times New Roman" w:cs="Times New Roman"/>
      <w:b/>
      <w:bCs/>
      <w:color w:val="000000"/>
      <w:sz w:val="32"/>
      <w:szCs w:val="32"/>
      <w:u w:val="none"/>
    </w:rPr>
  </w:style>
  <w:style w:type="character" w:customStyle="1" w:styleId="464">
    <w:name w:val="font31"/>
    <w:basedOn w:val="195"/>
    <w:link w:val="1"/>
    <w:qFormat/>
    <w:uiPriority w:val="0"/>
    <w:rPr>
      <w:rFonts w:hint="eastAsia" w:ascii="黑体" w:hAnsi="宋体" w:eastAsia="黑体" w:cs="黑体"/>
      <w:color w:val="000000"/>
      <w:sz w:val="20"/>
      <w:szCs w:val="20"/>
      <w:u w:val="none"/>
    </w:rPr>
  </w:style>
  <w:style w:type="character" w:customStyle="1" w:styleId="465">
    <w:name w:val="font101"/>
    <w:basedOn w:val="195"/>
    <w:link w:val="1"/>
    <w:qFormat/>
    <w:uiPriority w:val="0"/>
    <w:rPr>
      <w:rFonts w:ascii="Times New Roman" w:hAnsi="Times New Roman" w:cs="Times New Roman"/>
      <w:color w:val="000000"/>
      <w:sz w:val="22"/>
      <w:szCs w:val="22"/>
      <w:u w:val="none"/>
    </w:rPr>
  </w:style>
  <w:style w:type="character" w:customStyle="1" w:styleId="466">
    <w:name w:val="font112"/>
    <w:basedOn w:val="195"/>
    <w:link w:val="1"/>
    <w:qFormat/>
    <w:uiPriority w:val="0"/>
    <w:rPr>
      <w:rFonts w:ascii="Times New Roman" w:hAnsi="Times New Roman" w:cs="Times New Roman"/>
      <w:b/>
      <w:bCs/>
      <w:color w:val="000000"/>
      <w:sz w:val="20"/>
      <w:szCs w:val="20"/>
      <w:u w:val="none"/>
      <w:vertAlign w:val="superscript"/>
    </w:rPr>
  </w:style>
  <w:style w:type="character" w:customStyle="1" w:styleId="467">
    <w:name w:val="font61"/>
    <w:basedOn w:val="195"/>
    <w:link w:val="1"/>
    <w:qFormat/>
    <w:uiPriority w:val="0"/>
    <w:rPr>
      <w:rFonts w:ascii="Times New Roman" w:hAnsi="Times New Roman" w:cs="Times New Roman"/>
      <w:b/>
      <w:bCs/>
      <w:color w:val="000000"/>
      <w:sz w:val="22"/>
      <w:szCs w:val="22"/>
      <w:u w:val="none"/>
    </w:rPr>
  </w:style>
  <w:style w:type="character" w:customStyle="1" w:styleId="468">
    <w:name w:val="font51"/>
    <w:basedOn w:val="195"/>
    <w:link w:val="1"/>
    <w:qFormat/>
    <w:uiPriority w:val="0"/>
    <w:rPr>
      <w:rFonts w:ascii="Times New Roman" w:hAnsi="Times New Roman" w:cs="Times New Roman"/>
      <w:b/>
      <w:bCs/>
      <w:color w:val="000000"/>
      <w:sz w:val="32"/>
      <w:szCs w:val="32"/>
      <w:u w:val="none"/>
    </w:rPr>
  </w:style>
  <w:style w:type="character" w:customStyle="1" w:styleId="469">
    <w:name w:val="NormalCharacter1"/>
    <w:qFormat/>
    <w:uiPriority w:val="0"/>
  </w:style>
  <w:style w:type="character" w:customStyle="1" w:styleId="470">
    <w:name w:val="标题 5 Char"/>
    <w:link w:val="6"/>
    <w:qFormat/>
    <w:uiPriority w:val="0"/>
    <w:rPr>
      <w:b/>
      <w:bCs/>
      <w:sz w:val="28"/>
      <w:szCs w:val="28"/>
    </w:rPr>
  </w:style>
  <w:style w:type="paragraph" w:customStyle="1" w:styleId="471">
    <w:name w:val="段标题"/>
    <w:next w:val="12"/>
    <w:qFormat/>
    <w:uiPriority w:val="0"/>
    <w:pPr>
      <w:widowControl w:val="0"/>
    </w:pPr>
    <w:rPr>
      <w:rFonts w:ascii="黑体" w:hAnsi="宋体" w:eastAsia="黑体" w:cs="Times New Roman"/>
      <w:kern w:val="2"/>
      <w:sz w:val="21"/>
      <w:szCs w:val="24"/>
      <w:lang w:val="en-US" w:eastAsia="zh-CN" w:bidi="ar-SA"/>
    </w:rPr>
  </w:style>
  <w:style w:type="character" w:customStyle="1" w:styleId="472">
    <w:name w:val="font71"/>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Chi</Company>
  <Pages>99</Pages>
  <Words>164</Words>
  <Characters>198</Characters>
  <TotalTime>0</TotalTime>
  <ScaleCrop>false</ScaleCrop>
  <LinksUpToDate>false</LinksUpToDate>
  <CharactersWithSpaces>210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2023-08-03T06:46:00Z</dcterms:created>
  <dc:creator>Yin </dc:creator>
  <cp:lastModifiedBy>施月平</cp:lastModifiedBy>
  <cp:lastPrinted>2025-12-15T05:10:00Z</cp:lastPrinted>
  <dcterms:modified xsi:type="dcterms:W3CDTF">2025-12-17T07:57:43Z</dcterms:modified>
  <dc:title>02年杜</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1AEBA626ECC64D86BE2E080648853A56_13</vt:lpwstr>
  </property>
  <property fmtid="{D5CDD505-2E9C-101B-9397-08002B2CF9AE}" pid="4" name="KSOTemplateDocerSaveRecord">
    <vt:lpwstr>eyJoZGlkIjoiYzdhYTE3ZDE3MjVkMDk4OTdjZWZmZGJiNWQ2Y2ExNTEiLCJ1c2VySWQiOiI0NDU5NjQ0NTEifQ==</vt:lpwstr>
  </property>
</Properties>
</file>